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28"/>
          <w:szCs w:val="28"/>
        </w:rPr>
      </w:pPr>
      <w:r>
        <w:rPr>
          <w:rFonts w:hint="eastAsia"/>
          <w:sz w:val="28"/>
          <w:szCs w:val="28"/>
        </w:rPr>
        <w:t>附件2：</w:t>
      </w:r>
    </w:p>
    <w:p>
      <w:pPr>
        <w:jc w:val="center"/>
        <w:rPr>
          <w:rFonts w:hint="eastAsia"/>
          <w:b/>
          <w:sz w:val="32"/>
          <w:szCs w:val="32"/>
        </w:rPr>
      </w:pPr>
      <w:r>
        <w:rPr>
          <w:rFonts w:hint="eastAsia"/>
          <w:b/>
          <w:sz w:val="32"/>
          <w:szCs w:val="32"/>
        </w:rPr>
        <w:t>安徽工程大学</w:t>
      </w:r>
    </w:p>
    <w:p>
      <w:pPr>
        <w:jc w:val="center"/>
        <w:rPr>
          <w:rFonts w:eastAsia="华文中宋"/>
          <w:b/>
          <w:bCs/>
          <w:sz w:val="30"/>
          <w:szCs w:val="30"/>
        </w:rPr>
      </w:pPr>
      <w:r>
        <w:rPr>
          <w:rFonts w:hint="eastAsia"/>
          <w:b/>
          <w:sz w:val="32"/>
          <w:szCs w:val="32"/>
        </w:rPr>
        <w:t>专业学位硕士研究生培养方案制定（修订）实施意见</w:t>
      </w:r>
    </w:p>
    <w:p>
      <w:pPr>
        <w:spacing w:line="360" w:lineRule="auto"/>
        <w:rPr>
          <w:rFonts w:hint="eastAsia"/>
          <w:sz w:val="24"/>
        </w:rPr>
      </w:pPr>
    </w:p>
    <w:p>
      <w:pPr>
        <w:spacing w:line="360" w:lineRule="auto"/>
        <w:rPr>
          <w:rFonts w:hint="eastAsia" w:eastAsia="黑体"/>
          <w:b/>
          <w:i/>
          <w:iCs/>
          <w:sz w:val="24"/>
          <w:u w:val="single"/>
        </w:rPr>
      </w:pPr>
      <w:r>
        <w:rPr>
          <w:rFonts w:hint="eastAsia" w:eastAsia="黑体"/>
          <w:sz w:val="24"/>
        </w:rPr>
        <w:t>一、培养方案的基本内容</w:t>
      </w:r>
      <w:r>
        <w:rPr>
          <w:rFonts w:hint="eastAsia" w:eastAsia="黑体"/>
          <w:b/>
          <w:i/>
          <w:iCs/>
          <w:sz w:val="24"/>
          <w:u w:val="single"/>
        </w:rPr>
        <w:t>（具体可参考各专业学位教学指导委员会意见）</w:t>
      </w:r>
    </w:p>
    <w:p>
      <w:pPr>
        <w:spacing w:line="360" w:lineRule="auto"/>
        <w:ind w:firstLine="360" w:firstLineChars="150"/>
        <w:rPr>
          <w:rFonts w:hint="eastAsia" w:eastAsia="仿宋"/>
          <w:sz w:val="24"/>
        </w:rPr>
      </w:pPr>
      <w:r>
        <w:rPr>
          <w:rFonts w:hint="eastAsia" w:eastAsia="仿宋"/>
          <w:sz w:val="24"/>
        </w:rPr>
        <w:t>培养方案是研究生培养工作的主要依据，一般应包括：本学科、领域简介</w:t>
      </w:r>
      <w:r>
        <w:rPr>
          <w:rFonts w:hint="eastAsia" w:eastAsia="仿宋"/>
          <w:bCs/>
          <w:sz w:val="24"/>
        </w:rPr>
        <w:t>，</w:t>
      </w:r>
      <w:r>
        <w:rPr>
          <w:rFonts w:hint="eastAsia" w:eastAsia="仿宋"/>
          <w:sz w:val="24"/>
        </w:rPr>
        <w:t>培养目标，研究方向，学制、学习年限及毕业学分，课程体系及学分要求，必修环节，实践环节，科研与学位论文，培养方式与方法等。</w:t>
      </w:r>
    </w:p>
    <w:p>
      <w:pPr>
        <w:spacing w:line="360" w:lineRule="auto"/>
        <w:ind w:firstLine="120" w:firstLineChars="50"/>
        <w:rPr>
          <w:rFonts w:hint="eastAsia" w:eastAsia="仿宋"/>
          <w:b/>
          <w:bCs/>
          <w:sz w:val="24"/>
        </w:rPr>
      </w:pPr>
      <w:r>
        <w:rPr>
          <w:rFonts w:hint="eastAsia" w:eastAsia="仿宋"/>
          <w:b/>
          <w:bCs/>
          <w:sz w:val="24"/>
        </w:rPr>
        <w:t>1．本学科、领域简介</w:t>
      </w:r>
    </w:p>
    <w:p>
      <w:pPr>
        <w:spacing w:line="360" w:lineRule="auto"/>
        <w:ind w:firstLine="470" w:firstLineChars="196"/>
        <w:rPr>
          <w:rFonts w:hint="eastAsia" w:eastAsia="仿宋"/>
          <w:sz w:val="24"/>
        </w:rPr>
      </w:pPr>
      <w:r>
        <w:rPr>
          <w:rFonts w:hint="eastAsia" w:eastAsia="仿宋"/>
          <w:sz w:val="24"/>
        </w:rPr>
        <w:t>包括：学科、领域发展简史、现状以及发展趋势；在本学科门类以至整个科学技术领域中的地位、作用以及特色；本学科、领域师资队伍、承接和完成的重要科研项目、重要科技成果、获奖和发表论文等情况。</w:t>
      </w:r>
    </w:p>
    <w:p>
      <w:pPr>
        <w:spacing w:line="360" w:lineRule="auto"/>
        <w:ind w:firstLine="120" w:firstLineChars="50"/>
        <w:rPr>
          <w:rFonts w:hint="eastAsia" w:eastAsia="仿宋"/>
          <w:b/>
          <w:bCs/>
          <w:sz w:val="24"/>
        </w:rPr>
      </w:pPr>
      <w:r>
        <w:rPr>
          <w:rFonts w:hint="eastAsia" w:eastAsia="仿宋"/>
          <w:b/>
          <w:bCs/>
          <w:sz w:val="24"/>
        </w:rPr>
        <w:t>2．培养目标</w:t>
      </w:r>
    </w:p>
    <w:p>
      <w:pPr>
        <w:spacing w:line="360" w:lineRule="auto"/>
        <w:ind w:firstLine="600" w:firstLineChars="250"/>
        <w:rPr>
          <w:rFonts w:hint="eastAsia" w:eastAsia="仿宋"/>
          <w:sz w:val="24"/>
        </w:rPr>
      </w:pPr>
      <w:r>
        <w:rPr>
          <w:rFonts w:hint="eastAsia" w:eastAsia="仿宋"/>
          <w:sz w:val="24"/>
        </w:rPr>
        <w:t>培养适应国家和区域现代化建设需要，具有优良的思想政治品质，强烈的社会责任感、良好的职业道德；掌握所在专业（或职业）领域的基础理论和专业知识，具有较强的解决实际问题的能力，能够承担所在专业或领域的专业技术或管理工作、具有良好的职业素养的高层次应用型专门人才。</w:t>
      </w:r>
    </w:p>
    <w:p>
      <w:pPr>
        <w:spacing w:line="360" w:lineRule="auto"/>
        <w:rPr>
          <w:rFonts w:hint="eastAsia" w:eastAsia="仿宋"/>
          <w:b/>
          <w:bCs/>
          <w:sz w:val="24"/>
        </w:rPr>
      </w:pPr>
      <w:r>
        <w:rPr>
          <w:rFonts w:hint="eastAsia" w:eastAsia="仿宋"/>
          <w:sz w:val="24"/>
        </w:rPr>
        <w:t xml:space="preserve"> </w:t>
      </w:r>
      <w:r>
        <w:rPr>
          <w:rFonts w:hint="eastAsia" w:eastAsia="仿宋"/>
          <w:b/>
          <w:sz w:val="24"/>
        </w:rPr>
        <w:t>3．</w:t>
      </w:r>
      <w:r>
        <w:rPr>
          <w:rFonts w:hint="eastAsia" w:eastAsia="仿宋"/>
          <w:b/>
          <w:bCs/>
          <w:sz w:val="24"/>
        </w:rPr>
        <w:t>研究方向</w:t>
      </w:r>
    </w:p>
    <w:p>
      <w:pPr>
        <w:spacing w:line="360" w:lineRule="auto"/>
        <w:ind w:firstLine="480" w:firstLineChars="200"/>
        <w:rPr>
          <w:rFonts w:hint="eastAsia" w:eastAsia="仿宋"/>
          <w:b/>
          <w:i/>
          <w:sz w:val="24"/>
          <w:u w:val="single"/>
        </w:rPr>
      </w:pPr>
      <w:r>
        <w:rPr>
          <w:rFonts w:hint="eastAsia" w:eastAsia="仿宋"/>
          <w:sz w:val="24"/>
        </w:rPr>
        <w:t>根据专业学位研究生所属专业领域，结合学科特色确定相应的研究方向。每个专业学位方向原则上不超过5个。</w:t>
      </w:r>
    </w:p>
    <w:p>
      <w:pPr>
        <w:spacing w:line="360" w:lineRule="auto"/>
        <w:ind w:firstLine="120" w:firstLineChars="50"/>
        <w:rPr>
          <w:rFonts w:hint="eastAsia" w:eastAsia="仿宋"/>
          <w:sz w:val="24"/>
        </w:rPr>
      </w:pPr>
      <w:r>
        <w:rPr>
          <w:rFonts w:hint="eastAsia" w:eastAsia="仿宋"/>
          <w:b/>
          <w:bCs/>
          <w:sz w:val="24"/>
        </w:rPr>
        <w:t>4．学制、学习年限及毕业学分</w:t>
      </w:r>
    </w:p>
    <w:p>
      <w:pPr>
        <w:spacing w:line="360" w:lineRule="auto"/>
        <w:ind w:firstLine="480" w:firstLineChars="200"/>
        <w:rPr>
          <w:rFonts w:hint="eastAsia" w:eastAsia="仿宋"/>
          <w:sz w:val="24"/>
        </w:rPr>
      </w:pPr>
      <w:r>
        <w:rPr>
          <w:rFonts w:hint="eastAsia" w:eastAsia="仿宋"/>
          <w:sz w:val="24"/>
        </w:rPr>
        <w:t>全日制工程硕士专业学位研究生学制2年，学习年限一般为2-3年；</w:t>
      </w:r>
      <w:r>
        <w:rPr>
          <w:rFonts w:hint="eastAsia" w:eastAsia="仿宋"/>
          <w:b/>
          <w:i/>
          <w:sz w:val="24"/>
        </w:rPr>
        <w:t>艺术硕士和公共管理硕士专业学位研究生学制一般为3年</w:t>
      </w:r>
      <w:r>
        <w:rPr>
          <w:rFonts w:hint="eastAsia" w:eastAsia="仿宋"/>
          <w:sz w:val="24"/>
        </w:rPr>
        <w:t>，学习年限3-4年。非全日制专业学位研究生学制一般为3年，学习年限3-4年。</w:t>
      </w:r>
    </w:p>
    <w:p>
      <w:pPr>
        <w:spacing w:line="360" w:lineRule="auto"/>
        <w:ind w:firstLine="482" w:firstLineChars="200"/>
        <w:rPr>
          <w:rFonts w:hint="eastAsia" w:eastAsia="仿宋"/>
          <w:sz w:val="24"/>
        </w:rPr>
      </w:pPr>
      <w:r>
        <w:rPr>
          <w:rFonts w:hint="eastAsia" w:eastAsia="仿宋"/>
          <w:b/>
          <w:i/>
          <w:sz w:val="24"/>
        </w:rPr>
        <w:t>工程硕士专业学位研究生毕业总学分不少于34学分，</w:t>
      </w:r>
      <w:r>
        <w:rPr>
          <w:rFonts w:hint="eastAsia" w:eastAsia="仿宋"/>
          <w:sz w:val="24"/>
        </w:rPr>
        <w:t>其中课程学分不少于25学分，学位课程学分不少于15学分，非学位课学分不少于10个，实践环节6学分，必修环节3学分。</w:t>
      </w:r>
    </w:p>
    <w:p>
      <w:pPr>
        <w:spacing w:line="360" w:lineRule="auto"/>
        <w:ind w:firstLine="482" w:firstLineChars="200"/>
        <w:rPr>
          <w:rFonts w:hint="eastAsia" w:eastAsia="仿宋"/>
          <w:sz w:val="24"/>
        </w:rPr>
      </w:pPr>
      <w:r>
        <w:rPr>
          <w:rFonts w:hint="eastAsia" w:eastAsia="仿宋"/>
          <w:b/>
          <w:i/>
          <w:sz w:val="24"/>
        </w:rPr>
        <w:t>公共管理硕士专业学位研究生毕业总学分不少于42学分，</w:t>
      </w:r>
      <w:r>
        <w:rPr>
          <w:rFonts w:hint="eastAsia" w:eastAsia="仿宋"/>
          <w:sz w:val="24"/>
        </w:rPr>
        <w:t>其中课程总学分不少于36学分，学位课程（核心课程）学分不少于17学分，非学位课程（专业方向必修课、选修课等）不少于19学分，实践环节2个学分，必修环节4学分。</w:t>
      </w:r>
    </w:p>
    <w:p>
      <w:pPr>
        <w:spacing w:line="360" w:lineRule="auto"/>
        <w:ind w:firstLine="482" w:firstLineChars="200"/>
        <w:rPr>
          <w:rFonts w:eastAsia="仿宋"/>
          <w:sz w:val="24"/>
        </w:rPr>
      </w:pPr>
      <w:r>
        <w:rPr>
          <w:rFonts w:hint="eastAsia" w:eastAsia="仿宋"/>
          <w:b/>
          <w:i/>
          <w:sz w:val="24"/>
        </w:rPr>
        <w:t>艺术硕士专业学位研究生毕业总学分不少于56学分，</w:t>
      </w:r>
      <w:r>
        <w:rPr>
          <w:rFonts w:hint="eastAsia" w:eastAsia="仿宋"/>
          <w:sz w:val="24"/>
        </w:rPr>
        <w:t>其中公共学位课程学分不少于8学分，专业学位课（专业必修课）和实践环节不少于36学分，非学位课（选修课）不少于8学分，必修环节4学分。</w:t>
      </w:r>
    </w:p>
    <w:p>
      <w:pPr>
        <w:spacing w:line="360" w:lineRule="auto"/>
        <w:ind w:firstLine="480" w:firstLineChars="200"/>
        <w:rPr>
          <w:rFonts w:hint="eastAsia" w:eastAsia="仿宋"/>
          <w:sz w:val="24"/>
        </w:rPr>
      </w:pPr>
      <w:r>
        <w:rPr>
          <w:rFonts w:hint="eastAsia" w:eastAsia="仿宋"/>
          <w:sz w:val="24"/>
        </w:rPr>
        <w:t>非全日制专业学位硕士研究生在校学习研究的累计时间一般应不少于6个月，学位论文工作时间至少1年（从开题时间起）。</w:t>
      </w:r>
    </w:p>
    <w:p>
      <w:pPr>
        <w:spacing w:line="360" w:lineRule="auto"/>
        <w:ind w:firstLine="480" w:firstLineChars="200"/>
        <w:rPr>
          <w:rFonts w:hint="eastAsia" w:eastAsia="仿宋"/>
          <w:sz w:val="24"/>
        </w:rPr>
      </w:pPr>
      <w:r>
        <w:rPr>
          <w:rFonts w:hint="eastAsia" w:eastAsia="仿宋"/>
          <w:sz w:val="24"/>
        </w:rPr>
        <w:t>课程学习实行学分制，一般理工类每18学时记1学分，经管文艺类每16学时记1学分。</w:t>
      </w:r>
    </w:p>
    <w:p>
      <w:pPr>
        <w:spacing w:line="360" w:lineRule="auto"/>
        <w:ind w:firstLine="482" w:firstLineChars="200"/>
        <w:rPr>
          <w:rFonts w:hint="eastAsia" w:eastAsia="仿宋"/>
          <w:b/>
          <w:bCs/>
          <w:i/>
          <w:iCs/>
          <w:sz w:val="24"/>
          <w:lang w:val="en-US" w:eastAsia="zh-CN"/>
        </w:rPr>
      </w:pPr>
      <w:r>
        <w:rPr>
          <w:rFonts w:hint="eastAsia" w:eastAsia="仿宋"/>
          <w:b/>
          <w:bCs/>
          <w:i/>
          <w:iCs/>
          <w:sz w:val="24"/>
          <w:lang w:val="en-US" w:eastAsia="zh-CN"/>
        </w:rPr>
        <w:t>2017年新增专业学位点，参照有关教指委文件要求结合学校实际制定，方案2019年执行。</w:t>
      </w:r>
    </w:p>
    <w:p>
      <w:pPr>
        <w:spacing w:line="360" w:lineRule="auto"/>
        <w:rPr>
          <w:rFonts w:hint="eastAsia" w:eastAsia="仿宋"/>
          <w:b/>
          <w:bCs/>
          <w:sz w:val="24"/>
        </w:rPr>
      </w:pPr>
      <w:r>
        <w:rPr>
          <w:rFonts w:hint="eastAsia" w:eastAsia="仿宋"/>
          <w:b/>
          <w:bCs/>
          <w:sz w:val="24"/>
        </w:rPr>
        <w:t>5．课程体系及学分要求</w:t>
      </w:r>
    </w:p>
    <w:p>
      <w:pPr>
        <w:spacing w:line="360" w:lineRule="auto"/>
        <w:ind w:firstLine="480" w:firstLineChars="200"/>
        <w:rPr>
          <w:rFonts w:eastAsia="仿宋"/>
          <w:sz w:val="24"/>
        </w:rPr>
      </w:pPr>
      <w:r>
        <w:rPr>
          <w:rFonts w:hint="eastAsia" w:eastAsia="仿宋"/>
          <w:sz w:val="24"/>
        </w:rPr>
        <w:t>专业学位研究生课程包括学位课和非学位课。学位课分为公共学位课和专业学位课两类。非学位课包括公共选修课和专业选修课。</w:t>
      </w:r>
    </w:p>
    <w:p>
      <w:pPr>
        <w:numPr>
          <w:ilvl w:val="0"/>
          <w:numId w:val="1"/>
        </w:numPr>
        <w:spacing w:line="360" w:lineRule="auto"/>
        <w:ind w:firstLine="480" w:firstLineChars="200"/>
        <w:rPr>
          <w:rFonts w:hint="eastAsia" w:eastAsia="仿宋"/>
          <w:sz w:val="24"/>
        </w:rPr>
      </w:pPr>
      <w:r>
        <w:rPr>
          <w:rFonts w:hint="eastAsia" w:eastAsia="仿宋"/>
          <w:sz w:val="24"/>
        </w:rPr>
        <w:t>课程设置的基本要求</w:t>
      </w:r>
    </w:p>
    <w:p>
      <w:pPr>
        <w:spacing w:line="360" w:lineRule="auto"/>
        <w:ind w:firstLine="480" w:firstLineChars="200"/>
        <w:rPr>
          <w:rFonts w:hint="eastAsia" w:eastAsia="仿宋"/>
          <w:sz w:val="24"/>
        </w:rPr>
      </w:pPr>
      <w:r>
        <w:rPr>
          <w:rFonts w:hint="eastAsia" w:eastAsia="仿宋"/>
          <w:sz w:val="24"/>
        </w:rPr>
        <w:t>专业学位硕士研究生教学内容要强调理论性与应用性课程的有机结合，突出案例分析和实践研究；教学过程要重视团队学习、案例分析、现场研究、模拟实训等方法；要注重培养学生研究实际问题的意识和能力。</w:t>
      </w:r>
    </w:p>
    <w:p>
      <w:pPr>
        <w:numPr>
          <w:ilvl w:val="0"/>
          <w:numId w:val="2"/>
        </w:numPr>
        <w:spacing w:line="360" w:lineRule="auto"/>
        <w:ind w:firstLine="480" w:firstLineChars="200"/>
        <w:rPr>
          <w:rFonts w:hint="eastAsia" w:eastAsia="仿宋"/>
          <w:sz w:val="24"/>
        </w:rPr>
      </w:pPr>
      <w:r>
        <w:rPr>
          <w:rFonts w:hint="eastAsia" w:eastAsia="仿宋"/>
          <w:sz w:val="24"/>
        </w:rPr>
        <w:t>课程的学时和学分分布</w:t>
      </w:r>
    </w:p>
    <w:p>
      <w:pPr>
        <w:spacing w:line="360" w:lineRule="auto"/>
        <w:ind w:firstLine="480" w:firstLineChars="200"/>
        <w:rPr>
          <w:rFonts w:hint="eastAsia" w:eastAsia="仿宋"/>
          <w:sz w:val="30"/>
          <w:szCs w:val="30"/>
        </w:rPr>
      </w:pPr>
      <w:r>
        <w:rPr>
          <w:rFonts w:hint="eastAsia" w:eastAsia="仿宋"/>
          <w:sz w:val="24"/>
        </w:rPr>
        <w:t>专业学位硕士研究生课程、必修环节、实践环节学分设置如下：</w:t>
      </w:r>
    </w:p>
    <w:tbl>
      <w:tblPr>
        <w:tblStyle w:val="5"/>
        <w:tblW w:w="850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380"/>
        <w:gridCol w:w="2220"/>
        <w:gridCol w:w="1260"/>
        <w:gridCol w:w="1620"/>
        <w:gridCol w:w="13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28"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ind w:firstLine="210" w:firstLineChars="100"/>
              <w:jc w:val="center"/>
              <w:rPr>
                <w:rFonts w:eastAsia="仿宋"/>
                <w:szCs w:val="21"/>
              </w:rPr>
            </w:pPr>
            <w:r>
              <w:rPr>
                <w:rFonts w:hint="eastAsia" w:eastAsia="仿宋"/>
                <w:szCs w:val="21"/>
              </w:rPr>
              <w:t>课程性质</w:t>
            </w:r>
          </w:p>
        </w:tc>
        <w:tc>
          <w:tcPr>
            <w:tcW w:w="2220"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jc w:val="center"/>
              <w:rPr>
                <w:rFonts w:eastAsia="仿宋"/>
                <w:szCs w:val="21"/>
              </w:rPr>
            </w:pPr>
            <w:r>
              <w:rPr>
                <w:rFonts w:hint="eastAsia" w:eastAsia="仿宋"/>
                <w:szCs w:val="21"/>
              </w:rPr>
              <w:t>课程名称</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jc w:val="center"/>
              <w:rPr>
                <w:rFonts w:hint="eastAsia" w:eastAsia="仿宋"/>
                <w:szCs w:val="21"/>
              </w:rPr>
            </w:pPr>
            <w:r>
              <w:rPr>
                <w:rFonts w:hint="eastAsia" w:eastAsia="仿宋"/>
                <w:szCs w:val="21"/>
              </w:rPr>
              <w:t>学时/学分</w:t>
            </w:r>
          </w:p>
        </w:tc>
        <w:tc>
          <w:tcPr>
            <w:tcW w:w="1620"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jc w:val="center"/>
              <w:rPr>
                <w:rFonts w:eastAsia="仿宋"/>
                <w:szCs w:val="21"/>
              </w:rPr>
            </w:pPr>
            <w:r>
              <w:rPr>
                <w:rFonts w:hint="eastAsia" w:eastAsia="仿宋"/>
                <w:szCs w:val="21"/>
              </w:rPr>
              <w:t>开课对象</w:t>
            </w:r>
          </w:p>
        </w:tc>
        <w:tc>
          <w:tcPr>
            <w:tcW w:w="1375"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jc w:val="center"/>
              <w:rPr>
                <w:rFonts w:eastAsia="仿宋"/>
                <w:szCs w:val="21"/>
              </w:rPr>
            </w:pPr>
            <w:r>
              <w:rPr>
                <w:rFonts w:hint="eastAsia" w:eastAsia="仿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648" w:type="dxa"/>
            <w:vMerge w:val="restart"/>
            <w:tcBorders>
              <w:top w:val="single" w:color="auto" w:sz="4" w:space="0"/>
              <w:left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学</w:t>
            </w:r>
          </w:p>
          <w:p>
            <w:pPr>
              <w:spacing w:before="120" w:beforeLines="50"/>
              <w:rPr>
                <w:rFonts w:hint="eastAsia" w:eastAsia="仿宋"/>
                <w:szCs w:val="21"/>
              </w:rPr>
            </w:pPr>
            <w:r>
              <w:rPr>
                <w:rFonts w:hint="eastAsia" w:eastAsia="仿宋"/>
                <w:szCs w:val="21"/>
              </w:rPr>
              <w:t>位</w:t>
            </w:r>
          </w:p>
          <w:p>
            <w:pPr>
              <w:spacing w:before="120" w:beforeLines="50"/>
              <w:rPr>
                <w:rFonts w:eastAsia="仿宋"/>
                <w:szCs w:val="21"/>
              </w:rPr>
            </w:pPr>
            <w:r>
              <w:rPr>
                <w:rFonts w:hint="eastAsia" w:eastAsia="仿宋"/>
                <w:szCs w:val="21"/>
              </w:rPr>
              <w:t>课</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20" w:beforeLines="50"/>
              <w:rPr>
                <w:rFonts w:hint="eastAsia" w:eastAsia="仿宋"/>
                <w:szCs w:val="21"/>
              </w:rPr>
            </w:pPr>
          </w:p>
          <w:p>
            <w:pPr>
              <w:widowControl/>
              <w:spacing w:before="120" w:beforeLines="50"/>
              <w:rPr>
                <w:rFonts w:hint="eastAsia" w:eastAsia="仿宋"/>
                <w:szCs w:val="21"/>
              </w:rPr>
            </w:pPr>
            <w:r>
              <w:rPr>
                <w:rFonts w:hint="eastAsia" w:eastAsia="仿宋"/>
                <w:szCs w:val="21"/>
              </w:rPr>
              <w:t>公共学位课</w:t>
            </w:r>
          </w:p>
          <w:p>
            <w:pPr>
              <w:spacing w:before="120" w:beforeLines="50"/>
              <w:rPr>
                <w:rFonts w:eastAsia="仿宋"/>
                <w:szCs w:val="21"/>
              </w:rPr>
            </w:pPr>
          </w:p>
        </w:tc>
        <w:tc>
          <w:tcPr>
            <w:tcW w:w="2220" w:type="dxa"/>
            <w:tcBorders>
              <w:top w:val="single" w:color="auto" w:sz="4" w:space="0"/>
              <w:left w:val="single" w:color="auto" w:sz="4" w:space="0"/>
              <w:right w:val="single" w:color="auto" w:sz="4" w:space="0"/>
            </w:tcBorders>
            <w:vAlign w:val="center"/>
          </w:tcPr>
          <w:p>
            <w:pPr>
              <w:spacing w:before="120" w:beforeLines="50"/>
              <w:rPr>
                <w:rFonts w:eastAsia="仿宋"/>
                <w:szCs w:val="21"/>
              </w:rPr>
            </w:pPr>
            <w:r>
              <w:rPr>
                <w:rFonts w:hint="eastAsia" w:eastAsia="仿宋"/>
                <w:szCs w:val="21"/>
              </w:rPr>
              <w:t>科技英语阅读</w:t>
            </w:r>
          </w:p>
        </w:tc>
        <w:tc>
          <w:tcPr>
            <w:tcW w:w="1260" w:type="dxa"/>
            <w:tcBorders>
              <w:top w:val="single" w:color="auto" w:sz="4" w:space="0"/>
              <w:left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30/1</w:t>
            </w:r>
          </w:p>
        </w:tc>
        <w:tc>
          <w:tcPr>
            <w:tcW w:w="1620" w:type="dxa"/>
            <w:tcBorders>
              <w:top w:val="single" w:color="auto" w:sz="4" w:space="0"/>
              <w:left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所有专业</w:t>
            </w:r>
          </w:p>
        </w:tc>
        <w:tc>
          <w:tcPr>
            <w:tcW w:w="1375" w:type="dxa"/>
            <w:tcBorders>
              <w:top w:val="single" w:color="auto" w:sz="4" w:space="0"/>
              <w:left w:val="single" w:color="auto" w:sz="4" w:space="0"/>
              <w:right w:val="single" w:color="auto" w:sz="4" w:space="0"/>
            </w:tcBorders>
            <w:vAlign w:val="center"/>
          </w:tcPr>
          <w:p>
            <w:pPr>
              <w:spacing w:before="120" w:beforeLines="50"/>
              <w:rPr>
                <w:rFonts w:hint="eastAsia"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648" w:type="dxa"/>
            <w:vMerge w:val="continue"/>
            <w:tcBorders>
              <w:left w:val="single" w:color="auto" w:sz="4" w:space="0"/>
              <w:right w:val="single" w:color="auto" w:sz="4" w:space="0"/>
            </w:tcBorders>
            <w:vAlign w:val="center"/>
          </w:tcPr>
          <w:p>
            <w:pPr>
              <w:spacing w:before="120" w:beforeLines="50"/>
              <w:rPr>
                <w:rFonts w:hint="eastAsia" w:eastAsia="仿宋"/>
                <w:szCs w:val="21"/>
              </w:rPr>
            </w:pPr>
          </w:p>
        </w:tc>
        <w:tc>
          <w:tcPr>
            <w:tcW w:w="1380" w:type="dxa"/>
            <w:vMerge w:val="continue"/>
            <w:tcBorders>
              <w:left w:val="single" w:color="auto" w:sz="4" w:space="0"/>
              <w:right w:val="single" w:color="auto" w:sz="4" w:space="0"/>
            </w:tcBorders>
            <w:vAlign w:val="center"/>
          </w:tcPr>
          <w:p>
            <w:pPr>
              <w:spacing w:before="120" w:beforeLines="50"/>
              <w:rPr>
                <w:rFonts w:eastAsia="仿宋"/>
                <w:szCs w:val="21"/>
              </w:rPr>
            </w:pPr>
          </w:p>
        </w:tc>
        <w:tc>
          <w:tcPr>
            <w:tcW w:w="2220" w:type="dxa"/>
            <w:tcBorders>
              <w:top w:val="single" w:color="auto" w:sz="4" w:space="0"/>
              <w:left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实用英语写作</w:t>
            </w:r>
          </w:p>
        </w:tc>
        <w:tc>
          <w:tcPr>
            <w:tcW w:w="1260" w:type="dxa"/>
            <w:tcBorders>
              <w:top w:val="single" w:color="auto" w:sz="4" w:space="0"/>
              <w:left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30/1</w:t>
            </w:r>
          </w:p>
        </w:tc>
        <w:tc>
          <w:tcPr>
            <w:tcW w:w="1620" w:type="dxa"/>
            <w:tcBorders>
              <w:top w:val="single" w:color="auto" w:sz="4" w:space="0"/>
              <w:left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所有专业</w:t>
            </w:r>
          </w:p>
        </w:tc>
        <w:tc>
          <w:tcPr>
            <w:tcW w:w="1375" w:type="dxa"/>
            <w:tcBorders>
              <w:top w:val="single" w:color="auto" w:sz="4" w:space="0"/>
              <w:left w:val="single" w:color="auto" w:sz="4" w:space="0"/>
              <w:right w:val="single" w:color="auto" w:sz="4" w:space="0"/>
            </w:tcBorders>
            <w:vAlign w:val="center"/>
          </w:tcPr>
          <w:p>
            <w:pPr>
              <w:spacing w:before="120" w:beforeLines="50"/>
              <w:rPr>
                <w:rFonts w:hint="eastAsia"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48" w:type="dxa"/>
            <w:vMerge w:val="continue"/>
            <w:tcBorders>
              <w:left w:val="single" w:color="auto" w:sz="4" w:space="0"/>
              <w:right w:val="single" w:color="auto" w:sz="4" w:space="0"/>
            </w:tcBorders>
            <w:vAlign w:val="center"/>
          </w:tcPr>
          <w:p>
            <w:pPr>
              <w:spacing w:before="120" w:beforeLines="50"/>
              <w:rPr>
                <w:rFonts w:eastAsia="仿宋"/>
                <w:szCs w:val="21"/>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before="120" w:beforeLines="50"/>
              <w:rPr>
                <w:rFonts w:eastAsia="仿宋"/>
                <w:szCs w:val="21"/>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eastAsia="仿宋"/>
                <w:szCs w:val="21"/>
              </w:rPr>
            </w:pPr>
            <w:r>
              <w:rPr>
                <w:rFonts w:hint="eastAsia" w:eastAsia="仿宋"/>
                <w:szCs w:val="21"/>
              </w:rPr>
              <w:t>中国特色社会主义理论与实践研究/社会主义建设理论与实践（MPA）</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36/2</w:t>
            </w:r>
          </w:p>
        </w:tc>
        <w:tc>
          <w:tcPr>
            <w:tcW w:w="162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所有专业</w:t>
            </w:r>
          </w:p>
        </w:tc>
        <w:tc>
          <w:tcPr>
            <w:tcW w:w="1375"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48" w:type="dxa"/>
            <w:vMerge w:val="continue"/>
            <w:tcBorders>
              <w:left w:val="single" w:color="auto" w:sz="4" w:space="0"/>
              <w:right w:val="single" w:color="auto" w:sz="4" w:space="0"/>
            </w:tcBorders>
            <w:vAlign w:val="center"/>
          </w:tcPr>
          <w:p>
            <w:pPr>
              <w:spacing w:before="120" w:beforeLines="50"/>
              <w:rPr>
                <w:rFonts w:eastAsia="仿宋"/>
                <w:szCs w:val="21"/>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before="120" w:beforeLines="50"/>
              <w:rPr>
                <w:rFonts w:eastAsia="仿宋"/>
                <w:szCs w:val="21"/>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自然辩证法概论</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18/1</w:t>
            </w:r>
          </w:p>
        </w:tc>
        <w:tc>
          <w:tcPr>
            <w:tcW w:w="162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理工类专业</w:t>
            </w: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按专业选修（MPA除外）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48" w:type="dxa"/>
            <w:vMerge w:val="continue"/>
            <w:tcBorders>
              <w:left w:val="single" w:color="auto" w:sz="4" w:space="0"/>
              <w:right w:val="single" w:color="auto" w:sz="4" w:space="0"/>
            </w:tcBorders>
            <w:vAlign w:val="center"/>
          </w:tcPr>
          <w:p>
            <w:pPr>
              <w:spacing w:before="120" w:beforeLines="50"/>
              <w:rPr>
                <w:rFonts w:eastAsia="仿宋"/>
                <w:szCs w:val="21"/>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before="120" w:beforeLines="50"/>
              <w:rPr>
                <w:rFonts w:eastAsia="仿宋"/>
                <w:szCs w:val="21"/>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马克思主义与社会科学方法论</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18/1</w:t>
            </w:r>
          </w:p>
        </w:tc>
        <w:tc>
          <w:tcPr>
            <w:tcW w:w="162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人文社科等专业</w:t>
            </w: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spacing w:before="120" w:beforeLines="50"/>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48" w:type="dxa"/>
            <w:vMerge w:val="continue"/>
            <w:tcBorders>
              <w:left w:val="single" w:color="auto" w:sz="4" w:space="0"/>
              <w:bottom w:val="single" w:color="auto" w:sz="4" w:space="0"/>
              <w:right w:val="single" w:color="auto" w:sz="4" w:space="0"/>
            </w:tcBorders>
            <w:vAlign w:val="center"/>
          </w:tcPr>
          <w:p>
            <w:pPr>
              <w:spacing w:before="120" w:beforeLines="50"/>
              <w:rPr>
                <w:rFonts w:eastAsia="仿宋"/>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rPr>
                <w:rFonts w:hint="eastAsia" w:eastAsia="仿宋"/>
                <w:szCs w:val="21"/>
              </w:rPr>
            </w:pPr>
            <w:r>
              <w:rPr>
                <w:rFonts w:hint="eastAsia" w:eastAsia="仿宋"/>
                <w:szCs w:val="21"/>
              </w:rPr>
              <w:t>专业学位课</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必修不少于</w:t>
            </w:r>
            <w:r>
              <w:rPr>
                <w:rFonts w:eastAsia="仿宋"/>
                <w:szCs w:val="21"/>
              </w:rPr>
              <w:t>10</w:t>
            </w:r>
            <w:r>
              <w:rPr>
                <w:rFonts w:hint="eastAsia" w:eastAsia="仿宋"/>
                <w:szCs w:val="21"/>
              </w:rPr>
              <w:t>学分（工程硕士）/MPA和MFA按照教指委要求设置，且MFA要与实践环节结合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5" w:hRule="atLeast"/>
          <w:jc w:val="center"/>
        </w:trPr>
        <w:tc>
          <w:tcPr>
            <w:tcW w:w="648" w:type="dxa"/>
            <w:vMerge w:val="restart"/>
            <w:tcBorders>
              <w:top w:val="single" w:color="auto" w:sz="4" w:space="0"/>
              <w:left w:val="single" w:color="auto" w:sz="4" w:space="0"/>
              <w:right w:val="single" w:color="auto" w:sz="4" w:space="0"/>
            </w:tcBorders>
            <w:vAlign w:val="center"/>
          </w:tcPr>
          <w:p>
            <w:pPr>
              <w:spacing w:before="120" w:beforeLines="50"/>
              <w:rPr>
                <w:rFonts w:eastAsia="仿宋"/>
                <w:szCs w:val="21"/>
              </w:rPr>
            </w:pPr>
            <w:r>
              <w:rPr>
                <w:rFonts w:hint="eastAsia" w:eastAsia="仿宋"/>
                <w:szCs w:val="21"/>
              </w:rPr>
              <w:t>非学位课</w:t>
            </w:r>
          </w:p>
        </w:tc>
        <w:tc>
          <w:tcPr>
            <w:tcW w:w="1380" w:type="dxa"/>
            <w:vMerge w:val="restart"/>
            <w:tcBorders>
              <w:top w:val="single" w:color="auto" w:sz="4" w:space="0"/>
              <w:left w:val="single" w:color="auto" w:sz="4" w:space="0"/>
              <w:right w:val="single" w:color="auto" w:sz="4" w:space="0"/>
            </w:tcBorders>
            <w:vAlign w:val="top"/>
          </w:tcPr>
          <w:p>
            <w:pPr>
              <w:spacing w:before="120" w:beforeLines="50" w:line="360" w:lineRule="auto"/>
              <w:jc w:val="left"/>
              <w:rPr>
                <w:rFonts w:hint="eastAsia" w:eastAsia="仿宋"/>
                <w:szCs w:val="21"/>
              </w:rPr>
            </w:pPr>
            <w:r>
              <w:rPr>
                <w:rFonts w:hint="eastAsia" w:eastAsia="仿宋"/>
                <w:szCs w:val="21"/>
              </w:rPr>
              <w:t>公共选修课</w:t>
            </w:r>
          </w:p>
        </w:tc>
        <w:tc>
          <w:tcPr>
            <w:tcW w:w="2220"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eastAsia="仿宋"/>
                <w:szCs w:val="21"/>
              </w:rPr>
            </w:pPr>
            <w:r>
              <w:rPr>
                <w:rFonts w:hint="eastAsia" w:eastAsia="仿宋"/>
                <w:szCs w:val="21"/>
              </w:rPr>
              <w:t>知识产权</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20/1</w:t>
            </w:r>
          </w:p>
        </w:tc>
        <w:tc>
          <w:tcPr>
            <w:tcW w:w="162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所有专业</w:t>
            </w:r>
          </w:p>
        </w:tc>
        <w:tc>
          <w:tcPr>
            <w:tcW w:w="1375"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eastAsia="仿宋"/>
                <w:szCs w:val="21"/>
              </w:rPr>
            </w:pPr>
            <w:r>
              <w:rPr>
                <w:rFonts w:hint="eastAsia" w:eastAsia="仿宋"/>
                <w:szCs w:val="21"/>
              </w:rPr>
              <w:t>必选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5" w:hRule="atLeast"/>
          <w:jc w:val="center"/>
        </w:trPr>
        <w:tc>
          <w:tcPr>
            <w:tcW w:w="648" w:type="dxa"/>
            <w:vMerge w:val="continue"/>
            <w:tcBorders>
              <w:left w:val="single" w:color="auto" w:sz="4" w:space="0"/>
              <w:right w:val="single" w:color="auto" w:sz="4" w:space="0"/>
            </w:tcBorders>
            <w:vAlign w:val="center"/>
          </w:tcPr>
          <w:p>
            <w:pPr>
              <w:spacing w:before="120" w:beforeLines="50"/>
              <w:rPr>
                <w:rFonts w:hint="eastAsia" w:eastAsia="仿宋"/>
                <w:szCs w:val="21"/>
              </w:rPr>
            </w:pPr>
          </w:p>
        </w:tc>
        <w:tc>
          <w:tcPr>
            <w:tcW w:w="1380" w:type="dxa"/>
            <w:vMerge w:val="continue"/>
            <w:tcBorders>
              <w:left w:val="single" w:color="auto" w:sz="4" w:space="0"/>
              <w:right w:val="single" w:color="auto" w:sz="4" w:space="0"/>
            </w:tcBorders>
            <w:vAlign w:val="top"/>
          </w:tcPr>
          <w:p>
            <w:pPr>
              <w:spacing w:before="120" w:beforeLines="50" w:line="360" w:lineRule="auto"/>
              <w:jc w:val="left"/>
              <w:rPr>
                <w:rFonts w:hint="eastAsia" w:eastAsia="仿宋"/>
                <w:szCs w:val="21"/>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hint="eastAsia" w:eastAsia="仿宋"/>
                <w:szCs w:val="21"/>
              </w:rPr>
            </w:pPr>
            <w:r>
              <w:rPr>
                <w:rFonts w:hint="eastAsia" w:eastAsia="仿宋"/>
                <w:szCs w:val="21"/>
              </w:rPr>
              <w:t>工程伦理</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18/1</w:t>
            </w:r>
          </w:p>
        </w:tc>
        <w:tc>
          <w:tcPr>
            <w:tcW w:w="1620"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工程硕士</w:t>
            </w:r>
          </w:p>
        </w:tc>
        <w:tc>
          <w:tcPr>
            <w:tcW w:w="1375"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hint="eastAsia" w:eastAsia="仿宋"/>
                <w:szCs w:val="21"/>
              </w:rPr>
            </w:pPr>
            <w:r>
              <w:rPr>
                <w:rFonts w:hint="eastAsia" w:eastAsia="仿宋"/>
                <w:szCs w:val="21"/>
              </w:rPr>
              <w:t>必选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0" w:hRule="atLeast"/>
          <w:jc w:val="center"/>
        </w:trPr>
        <w:tc>
          <w:tcPr>
            <w:tcW w:w="648" w:type="dxa"/>
            <w:vMerge w:val="continue"/>
            <w:tcBorders>
              <w:left w:val="single" w:color="auto" w:sz="4" w:space="0"/>
              <w:bottom w:val="single" w:color="auto" w:sz="4" w:space="0"/>
              <w:right w:val="single" w:color="auto" w:sz="4" w:space="0"/>
            </w:tcBorders>
            <w:vAlign w:val="center"/>
          </w:tcPr>
          <w:p>
            <w:pPr>
              <w:spacing w:before="120" w:beforeLines="50"/>
              <w:rPr>
                <w:rFonts w:hint="eastAsia" w:eastAsia="仿宋"/>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hint="eastAsia" w:eastAsia="仿宋"/>
                <w:szCs w:val="21"/>
              </w:rPr>
            </w:pPr>
            <w:r>
              <w:rPr>
                <w:rFonts w:hint="eastAsia" w:eastAsia="仿宋"/>
                <w:szCs w:val="21"/>
              </w:rPr>
              <w:t>专业选修课</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hint="eastAsia" w:eastAsia="仿宋"/>
                <w:szCs w:val="21"/>
              </w:rPr>
            </w:pPr>
            <w:r>
              <w:rPr>
                <w:rFonts w:hint="eastAsia" w:eastAsia="仿宋"/>
                <w:szCs w:val="21"/>
              </w:rPr>
              <w:t>按本一级学科设置，选修最低学分按照总学分折算。须设置一门专业外语作为必选课，18学时，1学分。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必修环节</w:t>
            </w:r>
          </w:p>
        </w:tc>
        <w:tc>
          <w:tcPr>
            <w:tcW w:w="7855" w:type="dxa"/>
            <w:gridSpan w:val="5"/>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eastAsia="仿宋"/>
                <w:szCs w:val="21"/>
              </w:rPr>
            </w:pPr>
            <w:r>
              <w:rPr>
                <w:rFonts w:hint="eastAsia" w:eastAsia="仿宋"/>
                <w:szCs w:val="21"/>
              </w:rPr>
              <w:t>学术活动不少于5次，计1学分；完成学位论文开题及文献阅读综述、学位论文中期检查，不计学分；</w:t>
            </w:r>
            <w:r>
              <w:rPr>
                <w:rFonts w:hint="eastAsia" w:eastAsia="仿宋"/>
                <w:b/>
                <w:i/>
                <w:szCs w:val="21"/>
              </w:rPr>
              <w:t>社会责任按照学制，每学年1学分。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eastAsia="仿宋"/>
                <w:szCs w:val="21"/>
              </w:rPr>
            </w:pPr>
            <w:r>
              <w:rPr>
                <w:rFonts w:hint="eastAsia" w:eastAsia="仿宋"/>
                <w:szCs w:val="21"/>
              </w:rPr>
              <w:t>实践环节</w:t>
            </w:r>
          </w:p>
        </w:tc>
        <w:tc>
          <w:tcPr>
            <w:tcW w:w="7855" w:type="dxa"/>
            <w:gridSpan w:val="5"/>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hint="eastAsia" w:eastAsia="仿宋"/>
                <w:szCs w:val="21"/>
              </w:rPr>
            </w:pPr>
            <w:r>
              <w:rPr>
                <w:rFonts w:hint="eastAsia" w:eastAsia="仿宋"/>
                <w:szCs w:val="21"/>
              </w:rPr>
              <w:t>6学分（</w:t>
            </w:r>
            <w:bookmarkStart w:id="0" w:name="OLE_LINK4"/>
            <w:r>
              <w:rPr>
                <w:rFonts w:hint="eastAsia" w:eastAsia="仿宋"/>
                <w:szCs w:val="21"/>
              </w:rPr>
              <w:t>工程硕士</w:t>
            </w:r>
            <w:bookmarkEnd w:id="0"/>
            <w:r>
              <w:rPr>
                <w:rFonts w:hint="eastAsia" w:eastAsia="仿宋"/>
                <w:szCs w:val="21"/>
              </w:rPr>
              <w:t>）；2学分（MPA）；专业学位课和实践环节不少于36个学分（MFA）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before="120" w:beforeLines="50"/>
              <w:rPr>
                <w:rFonts w:eastAsia="仿宋"/>
                <w:szCs w:val="21"/>
              </w:rPr>
            </w:pPr>
            <w:r>
              <w:rPr>
                <w:rFonts w:hint="eastAsia" w:eastAsia="仿宋"/>
                <w:szCs w:val="21"/>
              </w:rPr>
              <w:t>补修课程</w:t>
            </w:r>
          </w:p>
        </w:tc>
        <w:tc>
          <w:tcPr>
            <w:tcW w:w="7855" w:type="dxa"/>
            <w:gridSpan w:val="5"/>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hint="eastAsia" w:eastAsia="仿宋"/>
                <w:szCs w:val="21"/>
              </w:rPr>
            </w:pPr>
            <w:r>
              <w:rPr>
                <w:rFonts w:eastAsia="仿宋"/>
                <w:szCs w:val="21"/>
              </w:rPr>
              <w:t>对缺少本学科本科层次专业基础的硕士研究生在导师指导下</w:t>
            </w:r>
            <w:r>
              <w:rPr>
                <w:rFonts w:hint="eastAsia" w:eastAsia="仿宋"/>
                <w:szCs w:val="21"/>
              </w:rPr>
              <w:t>任选1-</w:t>
            </w:r>
            <w:r>
              <w:rPr>
                <w:rFonts w:eastAsia="仿宋"/>
                <w:szCs w:val="21"/>
              </w:rPr>
              <w:t>2门</w:t>
            </w:r>
            <w:r>
              <w:rPr>
                <w:rFonts w:hint="eastAsia" w:eastAsia="仿宋"/>
                <w:szCs w:val="21"/>
              </w:rPr>
              <w:t>，补修课程不计学分。</w:t>
            </w:r>
          </w:p>
        </w:tc>
      </w:tr>
    </w:tbl>
    <w:p>
      <w:pPr>
        <w:spacing w:before="120" w:beforeLines="50" w:line="360" w:lineRule="auto"/>
        <w:rPr>
          <w:rFonts w:hint="eastAsia" w:eastAsia="仿宋"/>
          <w:sz w:val="24"/>
        </w:rPr>
      </w:pPr>
      <w:r>
        <w:rPr>
          <w:rFonts w:hint="eastAsia" w:eastAsia="仿宋"/>
          <w:sz w:val="24"/>
        </w:rPr>
        <w:t>注：课程设置要紧扣学科特点和学科前沿，对近3年没有开设的课程必须予以删除。课程设置需按照研究方向开设，加大实践课程的开设力度，杜绝因人设课、重复设课等现象发生。</w:t>
      </w:r>
    </w:p>
    <w:p>
      <w:pPr>
        <w:numPr>
          <w:ilvl w:val="0"/>
          <w:numId w:val="3"/>
        </w:numPr>
        <w:spacing w:before="120" w:beforeLines="50" w:line="360" w:lineRule="auto"/>
        <w:rPr>
          <w:rFonts w:hint="eastAsia" w:eastAsia="仿宋"/>
          <w:sz w:val="24"/>
        </w:rPr>
      </w:pPr>
      <w:r>
        <w:rPr>
          <w:rFonts w:hint="eastAsia" w:eastAsia="仿宋"/>
          <w:sz w:val="24"/>
        </w:rPr>
        <w:t>课程大纲</w:t>
      </w:r>
    </w:p>
    <w:p>
      <w:pPr>
        <w:spacing w:before="120" w:beforeLines="50" w:line="360" w:lineRule="auto"/>
        <w:ind w:firstLine="360" w:firstLineChars="150"/>
        <w:rPr>
          <w:rFonts w:hint="eastAsia" w:eastAsia="仿宋"/>
          <w:sz w:val="24"/>
        </w:rPr>
      </w:pPr>
      <w:r>
        <w:rPr>
          <w:rFonts w:hint="eastAsia" w:eastAsia="仿宋"/>
          <w:sz w:val="24"/>
        </w:rPr>
        <w:t>各专业开设的课程，均必须有课程教学大纲。课程教学大纲的编写须具有硕士研究生导师资格的教师承担。课程教学大纲须经学院学位评定分委员会审定。</w:t>
      </w:r>
    </w:p>
    <w:p>
      <w:pPr>
        <w:spacing w:line="360" w:lineRule="auto"/>
        <w:rPr>
          <w:rFonts w:eastAsia="仿宋"/>
          <w:b/>
          <w:bCs/>
          <w:sz w:val="24"/>
        </w:rPr>
      </w:pPr>
      <w:r>
        <w:rPr>
          <w:rFonts w:hint="eastAsia" w:eastAsia="仿宋"/>
          <w:b/>
          <w:bCs/>
          <w:sz w:val="24"/>
        </w:rPr>
        <w:t>6．必修环节</w:t>
      </w:r>
    </w:p>
    <w:p>
      <w:pPr>
        <w:spacing w:line="360" w:lineRule="auto"/>
        <w:ind w:firstLine="480" w:firstLineChars="200"/>
        <w:rPr>
          <w:rFonts w:hint="eastAsia" w:eastAsia="仿宋"/>
          <w:sz w:val="24"/>
        </w:rPr>
      </w:pPr>
      <w:r>
        <w:rPr>
          <w:rFonts w:hint="eastAsia" w:eastAsia="仿宋"/>
          <w:sz w:val="24"/>
        </w:rPr>
        <w:t>1）完成学位论文开题报告及文献阅读综述，学位论文中期检查，不计学分。</w:t>
      </w:r>
    </w:p>
    <w:p>
      <w:pPr>
        <w:spacing w:line="360" w:lineRule="auto"/>
        <w:ind w:firstLine="960" w:firstLineChars="400"/>
        <w:rPr>
          <w:rFonts w:hint="eastAsia" w:eastAsia="仿宋"/>
          <w:sz w:val="24"/>
        </w:rPr>
      </w:pPr>
      <w:r>
        <w:rPr>
          <w:rFonts w:hint="eastAsia" w:eastAsia="仿宋"/>
          <w:sz w:val="24"/>
        </w:rPr>
        <w:t>专业学位硕士研究生开题报告及文献阅读综述和中期检查的具体要求按照相关规定执行。</w:t>
      </w:r>
    </w:p>
    <w:p>
      <w:pPr>
        <w:spacing w:line="360" w:lineRule="auto"/>
        <w:ind w:firstLine="480" w:firstLineChars="200"/>
        <w:rPr>
          <w:rFonts w:hint="eastAsia" w:eastAsia="仿宋"/>
          <w:sz w:val="24"/>
        </w:rPr>
      </w:pPr>
      <w:r>
        <w:rPr>
          <w:rFonts w:hint="eastAsia" w:eastAsia="仿宋"/>
          <w:sz w:val="24"/>
        </w:rPr>
        <w:t>2）学术活动1学分。</w:t>
      </w:r>
    </w:p>
    <w:p>
      <w:pPr>
        <w:spacing w:line="360" w:lineRule="auto"/>
        <w:ind w:firstLine="480" w:firstLineChars="200"/>
        <w:rPr>
          <w:rFonts w:hint="eastAsia" w:eastAsia="仿宋"/>
          <w:b/>
          <w:i/>
          <w:sz w:val="24"/>
          <w:u w:val="single"/>
        </w:rPr>
      </w:pPr>
      <w:r>
        <w:rPr>
          <w:rFonts w:hint="eastAsia" w:eastAsia="仿宋"/>
          <w:sz w:val="24"/>
        </w:rPr>
        <w:t>3）</w:t>
      </w:r>
      <w:r>
        <w:rPr>
          <w:rFonts w:hint="eastAsia" w:eastAsia="仿宋"/>
          <w:b/>
          <w:i/>
          <w:sz w:val="24"/>
        </w:rPr>
        <w:t>社会责任学分参照《安徽工程大学大学生社会责任学分认定标准》执行，每学年1学分。</w:t>
      </w:r>
    </w:p>
    <w:p>
      <w:pPr>
        <w:widowControl/>
        <w:spacing w:line="360" w:lineRule="auto"/>
        <w:jc w:val="left"/>
        <w:rPr>
          <w:rFonts w:eastAsia="仿宋"/>
          <w:b/>
          <w:bCs/>
          <w:sz w:val="24"/>
        </w:rPr>
      </w:pPr>
      <w:r>
        <w:rPr>
          <w:rFonts w:hint="eastAsia" w:eastAsia="仿宋"/>
          <w:b/>
          <w:bCs/>
          <w:sz w:val="24"/>
        </w:rPr>
        <w:t>7．实践环节</w:t>
      </w:r>
    </w:p>
    <w:p>
      <w:pPr>
        <w:spacing w:line="360" w:lineRule="auto"/>
        <w:ind w:firstLine="480" w:firstLineChars="200"/>
        <w:rPr>
          <w:rFonts w:eastAsia="仿宋"/>
          <w:sz w:val="24"/>
        </w:rPr>
      </w:pPr>
      <w:r>
        <w:rPr>
          <w:rFonts w:hint="eastAsia" w:eastAsia="仿宋"/>
          <w:sz w:val="24"/>
        </w:rPr>
        <w:t>专业学位硕士研究生在学期间，必须保证不少于半年的实践教学，可采用集中实践与分段实践相结合的方式，工程硕士和艺术硕士应届本科毕业生的实践教学时间原则上不少于1年，MPA实践环节原则上不少于3个月</w:t>
      </w:r>
      <w:r>
        <w:rPr>
          <w:rFonts w:hint="eastAsia" w:eastAsia="仿宋"/>
          <w:szCs w:val="21"/>
        </w:rPr>
        <w:t>。</w:t>
      </w:r>
    </w:p>
    <w:p>
      <w:pPr>
        <w:spacing w:line="360" w:lineRule="auto"/>
        <w:rPr>
          <w:rFonts w:hint="eastAsia" w:eastAsia="仿宋"/>
          <w:b/>
          <w:sz w:val="24"/>
        </w:rPr>
      </w:pPr>
      <w:r>
        <w:rPr>
          <w:rFonts w:hint="eastAsia" w:eastAsia="仿宋"/>
          <w:b/>
          <w:bCs/>
          <w:sz w:val="24"/>
        </w:rPr>
        <w:t>8．科研</w:t>
      </w:r>
      <w:r>
        <w:rPr>
          <w:rFonts w:hint="eastAsia" w:eastAsia="仿宋"/>
          <w:b/>
          <w:sz w:val="24"/>
        </w:rPr>
        <w:t>与论文</w:t>
      </w:r>
    </w:p>
    <w:p>
      <w:pPr>
        <w:spacing w:line="360" w:lineRule="auto"/>
        <w:ind w:firstLine="600" w:firstLineChars="250"/>
        <w:rPr>
          <w:rFonts w:hint="eastAsia" w:eastAsia="仿宋"/>
          <w:sz w:val="24"/>
        </w:rPr>
      </w:pPr>
      <w:r>
        <w:rPr>
          <w:rFonts w:hint="eastAsia" w:eastAsia="仿宋"/>
          <w:sz w:val="24"/>
        </w:rPr>
        <w:t>专业学位硕士研究生在学期间，鼓励其在专业学术期刊上公开发表论文或取得工程应用成果。</w:t>
      </w:r>
    </w:p>
    <w:p>
      <w:pPr>
        <w:spacing w:line="360" w:lineRule="auto"/>
        <w:rPr>
          <w:rFonts w:hint="eastAsia" w:eastAsia="仿宋"/>
          <w:sz w:val="24"/>
        </w:rPr>
      </w:pPr>
      <w:r>
        <w:rPr>
          <w:rFonts w:hint="eastAsia" w:eastAsia="仿宋"/>
          <w:sz w:val="24"/>
        </w:rPr>
        <w:t>学位论文答辩和学位授予的其它要求，参照相关规定执行。</w:t>
      </w:r>
    </w:p>
    <w:p>
      <w:pPr>
        <w:spacing w:line="360" w:lineRule="auto"/>
        <w:rPr>
          <w:rFonts w:hint="eastAsia" w:eastAsia="仿宋"/>
          <w:b/>
          <w:sz w:val="24"/>
        </w:rPr>
      </w:pPr>
      <w:r>
        <w:rPr>
          <w:rFonts w:hint="eastAsia" w:eastAsia="仿宋"/>
          <w:b/>
          <w:sz w:val="24"/>
        </w:rPr>
        <w:t>9．培养方式与方法</w:t>
      </w:r>
    </w:p>
    <w:p>
      <w:pPr>
        <w:spacing w:line="360" w:lineRule="auto"/>
        <w:ind w:firstLine="480" w:firstLineChars="200"/>
        <w:rPr>
          <w:rFonts w:hint="eastAsia" w:eastAsia="仿宋"/>
          <w:sz w:val="24"/>
        </w:rPr>
      </w:pPr>
      <w:r>
        <w:rPr>
          <w:rFonts w:hint="eastAsia" w:eastAsia="仿宋"/>
          <w:sz w:val="24"/>
        </w:rPr>
        <w:t>培养方式实行全日制和非全日制两种方式。公共学位课和专业基础课一般在入学后1-1.5学期内完成；其它课程和实践环节可在入学后2-4学期内在研究生联合培养基地、企事业单位、工程中心和校内外研究生实践基地完成。</w:t>
      </w:r>
    </w:p>
    <w:p>
      <w:pPr>
        <w:spacing w:line="360" w:lineRule="auto"/>
        <w:ind w:firstLine="480" w:firstLineChars="200"/>
        <w:rPr>
          <w:rFonts w:hint="eastAsia" w:eastAsia="仿宋"/>
          <w:sz w:val="24"/>
        </w:rPr>
      </w:pPr>
      <w:r>
        <w:rPr>
          <w:rFonts w:hint="eastAsia" w:eastAsia="仿宋"/>
          <w:sz w:val="24"/>
        </w:rPr>
        <w:t>专业学位硕士研究生采用校内外双导师制，以校内导师指导为主，校外导师参与实践过程、项目研究、课程与论文等多个环节的指导工作。</w:t>
      </w:r>
    </w:p>
    <w:p>
      <w:pPr>
        <w:spacing w:line="360" w:lineRule="auto"/>
        <w:rPr>
          <w:rFonts w:hint="eastAsia" w:eastAsia="黑体"/>
          <w:sz w:val="24"/>
        </w:rPr>
      </w:pPr>
      <w:r>
        <w:rPr>
          <w:rFonts w:hint="eastAsia" w:eastAsia="黑体"/>
          <w:sz w:val="24"/>
        </w:rPr>
        <w:t>二、管理</w:t>
      </w:r>
    </w:p>
    <w:p>
      <w:pPr>
        <w:widowControl/>
        <w:spacing w:line="360" w:lineRule="auto"/>
        <w:ind w:firstLine="643"/>
        <w:jc w:val="left"/>
        <w:rPr>
          <w:rFonts w:hint="eastAsia" w:eastAsia="仿宋"/>
          <w:b/>
          <w:bCs/>
          <w:sz w:val="24"/>
        </w:rPr>
      </w:pPr>
      <w:r>
        <w:rPr>
          <w:rFonts w:hint="eastAsia" w:eastAsia="仿宋"/>
          <w:b/>
          <w:bCs/>
          <w:sz w:val="24"/>
        </w:rPr>
        <w:t>1．考核</w:t>
      </w:r>
    </w:p>
    <w:p>
      <w:pPr>
        <w:spacing w:line="360" w:lineRule="auto"/>
        <w:ind w:firstLine="480" w:firstLineChars="200"/>
        <w:rPr>
          <w:rFonts w:hint="eastAsia" w:eastAsia="仿宋"/>
          <w:sz w:val="24"/>
        </w:rPr>
      </w:pPr>
      <w:r>
        <w:rPr>
          <w:rFonts w:hint="eastAsia" w:eastAsia="仿宋"/>
          <w:sz w:val="24"/>
        </w:rPr>
        <w:t>为检查教学效果，确保培养质量，凡是培养方案规定的学习项目，均必须对专业学位硕士研究生进行考核。考核方式、成绩评定的有关要求，按学校有关规定执行。</w:t>
      </w:r>
    </w:p>
    <w:p>
      <w:pPr>
        <w:widowControl/>
        <w:spacing w:line="360" w:lineRule="auto"/>
        <w:ind w:firstLine="643"/>
        <w:jc w:val="left"/>
        <w:rPr>
          <w:rFonts w:hint="eastAsia" w:eastAsia="仿宋"/>
          <w:b/>
          <w:bCs/>
          <w:sz w:val="24"/>
        </w:rPr>
      </w:pPr>
      <w:r>
        <w:rPr>
          <w:rFonts w:hint="eastAsia" w:eastAsia="仿宋"/>
          <w:b/>
          <w:bCs/>
          <w:sz w:val="24"/>
        </w:rPr>
        <w:t>2．课程编号</w:t>
      </w:r>
    </w:p>
    <w:p>
      <w:pPr>
        <w:spacing w:line="360" w:lineRule="auto"/>
        <w:ind w:firstLine="600" w:firstLineChars="250"/>
        <w:rPr>
          <w:rFonts w:hint="eastAsia" w:eastAsia="仿宋"/>
          <w:sz w:val="24"/>
        </w:rPr>
      </w:pPr>
      <w:r>
        <w:rPr>
          <w:rFonts w:hint="eastAsia" w:eastAsia="仿宋" w:cs="宋体"/>
          <w:kern w:val="0"/>
          <w:sz w:val="24"/>
        </w:rPr>
        <w:t>按照课程教学大纲课程编码规则编制，公共课程编号由研究生部统一编排，专业课程编号由所在专业编排。</w:t>
      </w:r>
    </w:p>
    <w:p>
      <w:pPr>
        <w:widowControl/>
        <w:spacing w:line="360" w:lineRule="auto"/>
        <w:ind w:firstLine="643"/>
        <w:jc w:val="left"/>
        <w:rPr>
          <w:rFonts w:hint="eastAsia" w:eastAsia="仿宋"/>
          <w:b/>
          <w:bCs/>
          <w:sz w:val="24"/>
        </w:rPr>
      </w:pPr>
      <w:r>
        <w:rPr>
          <w:rFonts w:hint="eastAsia" w:eastAsia="仿宋"/>
          <w:b/>
          <w:bCs/>
          <w:sz w:val="24"/>
        </w:rPr>
        <w:t>3．其它</w:t>
      </w:r>
    </w:p>
    <w:p>
      <w:pPr>
        <w:spacing w:line="360" w:lineRule="auto"/>
        <w:ind w:firstLine="480" w:firstLineChars="200"/>
        <w:rPr>
          <w:rFonts w:hint="eastAsia" w:eastAsia="仿宋"/>
          <w:sz w:val="24"/>
        </w:rPr>
      </w:pPr>
      <w:r>
        <w:rPr>
          <w:rFonts w:hint="eastAsia" w:eastAsia="仿宋"/>
          <w:sz w:val="24"/>
        </w:rPr>
        <w:t>1）凡以同等学力或跨学科录取的全日制硕士专业学位研究生，均须补修2门本学科大学本科主干课程，不计学分。</w:t>
      </w:r>
    </w:p>
    <w:p>
      <w:pPr>
        <w:spacing w:line="360" w:lineRule="auto"/>
        <w:ind w:firstLine="480" w:firstLineChars="200"/>
        <w:rPr>
          <w:rFonts w:hint="eastAsia" w:eastAsia="仿宋"/>
          <w:sz w:val="24"/>
        </w:rPr>
      </w:pPr>
      <w:r>
        <w:rPr>
          <w:rFonts w:hint="eastAsia" w:eastAsia="仿宋"/>
          <w:sz w:val="24"/>
        </w:rPr>
        <w:t>2）本次制（修）订培养方案的范围包括目前我校现有的所有专业学位种类以及2017年学位点申请中获批的专业学位。</w:t>
      </w:r>
    </w:p>
    <w:p>
      <w:pPr>
        <w:spacing w:line="360" w:lineRule="auto"/>
        <w:ind w:firstLine="475" w:firstLineChars="198"/>
        <w:rPr>
          <w:rFonts w:hint="eastAsia" w:eastAsia="仿宋"/>
          <w:sz w:val="24"/>
        </w:rPr>
      </w:pPr>
      <w:r>
        <w:rPr>
          <w:rFonts w:hint="eastAsia" w:eastAsia="仿宋"/>
          <w:sz w:val="24"/>
        </w:rPr>
        <w:t>3）本方案自2018级研究生实行（2017年学位点申请中获批的专业学位培养方案自2019年实行），执行周期一般为三年，执行周期内，每年根据实际需要进行微调。在执行期内新增的或动态调整的专业学位点，根据实际情况进行增减。</w:t>
      </w:r>
    </w:p>
    <w:p>
      <w:r>
        <w:rPr>
          <w:rFonts w:hint="eastAsia" w:eastAsia="仿宋"/>
          <w:sz w:val="24"/>
        </w:rPr>
        <w:br w:type="page"/>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F304D"/>
    <w:multiLevelType w:val="singleLevel"/>
    <w:tmpl w:val="C30F304D"/>
    <w:lvl w:ilvl="0" w:tentative="0">
      <w:start w:val="1"/>
      <w:numFmt w:val="decimal"/>
      <w:suff w:val="space"/>
      <w:lvlText w:val="%1)"/>
      <w:lvlJc w:val="left"/>
    </w:lvl>
  </w:abstractNum>
  <w:abstractNum w:abstractNumId="1">
    <w:nsid w:val="E03F7119"/>
    <w:multiLevelType w:val="singleLevel"/>
    <w:tmpl w:val="E03F7119"/>
    <w:lvl w:ilvl="0" w:tentative="0">
      <w:start w:val="3"/>
      <w:numFmt w:val="decimal"/>
      <w:suff w:val="space"/>
      <w:lvlText w:val="%1)"/>
      <w:lvlJc w:val="left"/>
    </w:lvl>
  </w:abstractNum>
  <w:abstractNum w:abstractNumId="2">
    <w:nsid w:val="304247C8"/>
    <w:multiLevelType w:val="singleLevel"/>
    <w:tmpl w:val="304247C8"/>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8049D"/>
    <w:rsid w:val="11380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2018-04-11T00:54:00Z</dcterms:created>
  <dc:creator>Administrator</dc:creator>
  <cp:lastModifiedBy>Administrator</cp:lastModifiedBy>
  <dcterms:modified xsi:type="dcterms:W3CDTF">2018-04-11T00:54:20Z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