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届毕业研究生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硕士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学位授予及文明离校工作日程安排</w:t>
      </w:r>
    </w:p>
    <w:p/>
    <w:tbl>
      <w:tblPr>
        <w:tblStyle w:val="3"/>
        <w:tblW w:w="106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5055"/>
        <w:gridCol w:w="1395"/>
        <w:gridCol w:w="2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协办单位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学位分委员会进行学位授予资格审查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262626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审核毕业生学费、住宿费、教材费等交费情况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  <w:t>各学院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  <w:t>财务处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6月10日起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办理党组织关系迁移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262626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办理户口迁出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保卫处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研究生部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262626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优秀毕业生评选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各学院报送相关材料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  <w:t>各学院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研究生部整理、审核学位申请材料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召开校学位评定委员会，决定学位授予，优秀硕士学位论文评选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6月20日起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编制就业派遣方案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、办理就业报到证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6月10日起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办理离校手续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各学院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发放报到证，发放毕业证书、学位证书等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7月份</w:t>
            </w:r>
            <w:bookmarkStart w:id="0" w:name="_GoBack"/>
            <w:bookmarkEnd w:id="0"/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/>
              </w:rPr>
              <w:t>组织有关部门对宿舍及离校情况进行检查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后保处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7月份</w:t>
            </w:r>
          </w:p>
        </w:tc>
        <w:tc>
          <w:tcPr>
            <w:tcW w:w="505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整理毕业生档案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7月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</w:rPr>
              <w:t>转存及寄送相关档案材料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  <w:t>研究生部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567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2D45"/>
    <w:rsid w:val="043C28D4"/>
    <w:rsid w:val="05292187"/>
    <w:rsid w:val="0947292B"/>
    <w:rsid w:val="0BE5368A"/>
    <w:rsid w:val="0F1F3F2E"/>
    <w:rsid w:val="30EB2D45"/>
    <w:rsid w:val="38BF733D"/>
    <w:rsid w:val="3920093C"/>
    <w:rsid w:val="47D75D7C"/>
    <w:rsid w:val="5414080A"/>
    <w:rsid w:val="548439E7"/>
    <w:rsid w:val="5B1B777A"/>
    <w:rsid w:val="67B01DE7"/>
    <w:rsid w:val="74110791"/>
    <w:rsid w:val="7CE01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62626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2020-05-21T00:41:00Z</dcterms:created>
  <dc:creator>苏霞</dc:creator>
  <cp:lastModifiedBy>苏霞</cp:lastModifiedBy>
  <cp:lastPrinted>2020-05-22T06:47:00Z</cp:lastPrinted>
  <dcterms:modified xsi:type="dcterms:W3CDTF">2020-05-28T07:07:01Z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