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</w:rPr>
      </w:pPr>
      <w:bookmarkStart w:id="0" w:name="_GoBack"/>
      <w:r>
        <w:rPr>
          <w:rFonts w:hint="eastAsia" w:ascii="华文仿宋" w:hAnsi="华文仿宋" w:eastAsia="华文仿宋" w:cs="华文仿宋"/>
          <w:sz w:val="30"/>
          <w:szCs w:val="30"/>
        </w:rPr>
        <w:t>附件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学院互查安排一览表</w:t>
      </w:r>
    </w:p>
    <w:bookmarkEnd w:id="0"/>
    <w:tbl>
      <w:tblPr>
        <w:tblStyle w:val="3"/>
        <w:tblpPr w:leftFromText="180" w:rightFromText="180" w:vertAnchor="text" w:horzAnchor="page" w:tblpX="2399" w:tblpY="153"/>
        <w:tblOverlap w:val="never"/>
        <w:tblW w:w="7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450"/>
        <w:gridCol w:w="3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核查学院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被核查学院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机械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与汽车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工程学院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人文学院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数理与金融学院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数理与金融学院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生物与食品工程学院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生物与食品工程学院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化学与环境工程学院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化学与环境工程学院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马克思主义学院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纺织服装学院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纺织服装学院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计算机与信息学院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计算机与信息学院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建筑工程学院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体育学院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外国语学院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材料科学与工程学院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经济与管理学院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设计学院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电气工程学院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（集成电路学院）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电气工程学院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（集成电路学院）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机械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与汽车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工程学院</w:t>
            </w:r>
          </w:p>
        </w:tc>
      </w:tr>
    </w:tbl>
    <w:p>
      <w:pPr>
        <w:pStyle w:val="2"/>
        <w:autoSpaceDE w:val="0"/>
        <w:autoSpaceDN w:val="0"/>
        <w:spacing w:line="440" w:lineRule="exact"/>
        <w:ind w:left="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</w:rPr>
        <w:t>注：核查中发现问题的如实记录，并通知相应学院及辅导员核实、更正。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DQ0ZTdjMzY5MDc2ZTMwZGRjODMzMjNjMzYwMmEifQ=="/>
  </w:docVars>
  <w:rsids>
    <w:rsidRoot w:val="4FDA5FAE"/>
    <w:rsid w:val="4FD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left="120"/>
      <w:outlineLvl w:val="0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autoRedefine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2024-05-11T03:57:00Z</dcterms:created>
  <dc:creator>宋~ge</dc:creator>
  <cp:lastModifiedBy>宋~ge</cp:lastModifiedBy>
  <dcterms:modified xsi:type="dcterms:W3CDTF">2024-05-11T03:59:37Z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0B17D22EC3E84FA581381FA0F628D56B_11</vt:lpwstr>
  </property>
</Properties>
</file>