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before="0" w:line="360" w:lineRule="auto"/>
        <w:rPr>
          <w:rFonts w:hint="default" w:ascii="仿宋" w:hAnsi="仿宋" w:eastAsia="仿宋"/>
          <w:color w:val="000000" w:themeColor="text1"/>
          <w:sz w:val="32"/>
          <w:szCs w:val="32"/>
          <w:lang w:val="zh-CN"/>
          <w14:textFill>
            <w14:solidFill>
              <w14:schemeClr w14:val="tx1"/>
            </w14:solidFill>
          </w14:textFill>
        </w:rPr>
      </w:pPr>
      <w:bookmarkStart w:id="0" w:name="_Toc7725"/>
      <w:bookmarkStart w:id="1" w:name="_Toc3056"/>
      <w:bookmarkStart w:id="2" w:name="_Toc9737"/>
      <w:bookmarkStart w:id="3" w:name="_Toc3427"/>
      <w:bookmarkStart w:id="4" w:name="_Toc29387"/>
      <w:bookmarkStart w:id="5" w:name="_Toc18420"/>
      <w:bookmarkStart w:id="6" w:name="_Toc2251"/>
      <w:bookmarkStart w:id="7" w:name="_Toc7458"/>
      <w:bookmarkStart w:id="8" w:name="_Toc25427"/>
      <w:bookmarkStart w:id="9" w:name="_Toc12468"/>
      <w:bookmarkStart w:id="10" w:name="_Toc31278"/>
      <w:bookmarkStart w:id="11" w:name="_Toc31947"/>
      <w:bookmarkStart w:id="12" w:name="_Toc11793"/>
      <w:bookmarkStart w:id="13" w:name="_Toc19334"/>
      <w:bookmarkStart w:id="14" w:name="_Toc8705"/>
      <w:bookmarkStart w:id="15" w:name="_Toc30403"/>
      <w:bookmarkStart w:id="16" w:name="_Toc3134"/>
      <w:bookmarkStart w:id="17" w:name="_Toc19061"/>
      <w:bookmarkStart w:id="18" w:name="_Toc29288"/>
      <w:r>
        <w:rPr>
          <w:rFonts w:ascii="仿宋" w:hAnsi="仿宋" w:eastAsia="仿宋"/>
          <w:color w:val="000000" w:themeColor="text1"/>
          <w:sz w:val="32"/>
          <w:szCs w:val="32"/>
          <w:lang w:val="zh-CN"/>
          <w14:textFill>
            <w14:solidFill>
              <w14:schemeClr w14:val="tx1"/>
            </w14:solidFill>
          </w14:textFill>
        </w:rPr>
        <w:t>附件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default" w:ascii="仿宋" w:hAnsi="仿宋" w:eastAsia="仿宋"/>
          <w:color w:val="000000" w:themeColor="text1"/>
          <w:sz w:val="32"/>
          <w:szCs w:val="32"/>
          <w:lang w:val="zh-CN"/>
          <w14:textFill>
            <w14:solidFill>
              <w14:schemeClr w14:val="tx1"/>
            </w14:solidFill>
          </w14:textFill>
        </w:rPr>
        <w:t>2</w:t>
      </w:r>
    </w:p>
    <w:p>
      <w:pPr>
        <w:pStyle w:val="52"/>
        <w:spacing w:before="0" w:line="360" w:lineRule="auto"/>
        <w:jc w:val="center"/>
        <w:rPr>
          <w:rFonts w:hint="default" w:ascii="仿宋" w:hAnsi="仿宋" w:eastAsia="仿宋"/>
          <w:color w:val="000000" w:themeColor="text1"/>
          <w:sz w:val="72"/>
          <w:szCs w:val="72"/>
          <w:lang w:val="zh-CN"/>
          <w14:textFill>
            <w14:solidFill>
              <w14:schemeClr w14:val="tx1"/>
            </w14:solidFill>
          </w14:textFill>
        </w:rPr>
      </w:pPr>
      <w:bookmarkStart w:id="19" w:name="_Toc22634"/>
      <w:bookmarkStart w:id="20" w:name="_Toc22456"/>
      <w:bookmarkStart w:id="21" w:name="_Toc617"/>
    </w:p>
    <w:p>
      <w:pPr>
        <w:pStyle w:val="52"/>
        <w:spacing w:before="0" w:line="360" w:lineRule="auto"/>
        <w:jc w:val="center"/>
        <w:rPr>
          <w:rFonts w:hint="default" w:ascii="仿宋" w:hAnsi="仿宋" w:eastAsia="仿宋"/>
          <w:b/>
          <w:color w:val="000000" w:themeColor="text1"/>
          <w:sz w:val="64"/>
          <w:szCs w:val="64"/>
          <w:lang w:val="zh-CN"/>
          <w14:textFill>
            <w14:solidFill>
              <w14:schemeClr w14:val="tx1"/>
            </w14:solidFill>
          </w14:textFill>
        </w:rPr>
      </w:pPr>
      <w:bookmarkStart w:id="22" w:name="_Toc12697"/>
      <w:bookmarkStart w:id="23" w:name="_Toc10344"/>
      <w:bookmarkStart w:id="24" w:name="_Toc14779"/>
      <w:bookmarkStart w:id="25" w:name="_Toc2840"/>
      <w:bookmarkStart w:id="26" w:name="_Toc5467"/>
      <w:bookmarkStart w:id="27" w:name="_Toc8593"/>
      <w:bookmarkStart w:id="28" w:name="_Toc9750"/>
      <w:bookmarkStart w:id="29" w:name="_Toc20778"/>
      <w:bookmarkStart w:id="30" w:name="_Toc28784"/>
      <w:bookmarkStart w:id="31" w:name="_Toc17781"/>
      <w:bookmarkStart w:id="32" w:name="_Toc32413"/>
      <w:bookmarkStart w:id="33" w:name="_Toc22146"/>
      <w:bookmarkStart w:id="34" w:name="_Toc26178"/>
      <w:r>
        <w:rPr>
          <w:rFonts w:hint="default" w:ascii="仿宋" w:hAnsi="仿宋" w:eastAsia="仿宋"/>
          <w:b/>
          <w:color w:val="000000" w:themeColor="text1"/>
          <w:sz w:val="64"/>
          <w:szCs w:val="64"/>
          <w:lang w:val="zh-CN"/>
          <w14:textFill>
            <w14:solidFill>
              <w14:schemeClr w14:val="tx1"/>
            </w14:solidFill>
          </w14:textFill>
        </w:rPr>
        <w:t>2021年度省级质量工程项目</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52"/>
        <w:spacing w:before="0" w:line="360" w:lineRule="auto"/>
        <w:jc w:val="center"/>
        <w:rPr>
          <w:rFonts w:hint="default" w:ascii="仿宋" w:hAnsi="仿宋" w:eastAsia="仿宋"/>
          <w:color w:val="000000" w:themeColor="text1"/>
          <w:sz w:val="64"/>
          <w:szCs w:val="64"/>
          <w:lang w:val="zh-CN"/>
          <w14:textFill>
            <w14:solidFill>
              <w14:schemeClr w14:val="tx1"/>
            </w14:solidFill>
          </w14:textFill>
        </w:rPr>
      </w:pPr>
      <w:r>
        <w:rPr>
          <w:rFonts w:ascii="仿宋" w:hAnsi="仿宋" w:eastAsia="仿宋"/>
          <w:color w:val="000000" w:themeColor="text1"/>
          <w:sz w:val="64"/>
          <w:szCs w:val="64"/>
          <w:lang w:val="zh-CN"/>
          <w14:textFill>
            <w14:solidFill>
              <w14:schemeClr w14:val="tx1"/>
            </w14:solidFill>
          </w14:textFill>
        </w:rPr>
        <w:t>（本科和研究生教育）</w:t>
      </w:r>
    </w:p>
    <w:p>
      <w:pPr>
        <w:spacing w:line="360" w:lineRule="auto"/>
        <w:jc w:val="center"/>
        <w:rPr>
          <w:rFonts w:ascii="仿宋" w:hAnsi="仿宋" w:eastAsia="仿宋"/>
          <w:b/>
          <w:color w:val="000000" w:themeColor="text1"/>
          <w:sz w:val="84"/>
          <w:szCs w:val="84"/>
          <w:lang w:val="zh-CN"/>
          <w14:textFill>
            <w14:solidFill>
              <w14:schemeClr w14:val="tx1"/>
            </w14:solidFill>
          </w14:textFill>
        </w:rPr>
      </w:pPr>
    </w:p>
    <w:p>
      <w:pPr>
        <w:spacing w:line="360" w:lineRule="auto"/>
        <w:jc w:val="center"/>
        <w:rPr>
          <w:rFonts w:ascii="仿宋" w:hAnsi="仿宋" w:eastAsia="仿宋"/>
          <w:b/>
          <w:color w:val="000000" w:themeColor="text1"/>
          <w:sz w:val="84"/>
          <w:szCs w:val="84"/>
          <w:lang w:val="zh-CN"/>
          <w14:textFill>
            <w14:solidFill>
              <w14:schemeClr w14:val="tx1"/>
            </w14:solidFill>
          </w14:textFill>
        </w:rPr>
      </w:pPr>
      <w:r>
        <w:rPr>
          <w:rFonts w:hint="eastAsia" w:ascii="仿宋" w:hAnsi="仿宋" w:eastAsia="仿宋"/>
          <w:b/>
          <w:color w:val="000000" w:themeColor="text1"/>
          <w:sz w:val="84"/>
          <w:szCs w:val="84"/>
          <w:lang w:val="zh-CN"/>
          <w14:textFill>
            <w14:solidFill>
              <w14:schemeClr w14:val="tx1"/>
            </w14:solidFill>
          </w14:textFill>
        </w:rPr>
        <w:t>申</w:t>
      </w:r>
    </w:p>
    <w:p>
      <w:pPr>
        <w:spacing w:line="360" w:lineRule="auto"/>
        <w:jc w:val="center"/>
        <w:rPr>
          <w:rFonts w:ascii="仿宋" w:hAnsi="仿宋" w:eastAsia="仿宋"/>
          <w:b/>
          <w:color w:val="000000" w:themeColor="text1"/>
          <w:sz w:val="84"/>
          <w:szCs w:val="84"/>
          <w:lang w:val="zh-CN"/>
          <w14:textFill>
            <w14:solidFill>
              <w14:schemeClr w14:val="tx1"/>
            </w14:solidFill>
          </w14:textFill>
        </w:rPr>
      </w:pPr>
      <w:r>
        <w:rPr>
          <w:rFonts w:hint="eastAsia" w:ascii="仿宋" w:hAnsi="仿宋" w:eastAsia="仿宋"/>
          <w:b/>
          <w:color w:val="000000" w:themeColor="text1"/>
          <w:sz w:val="84"/>
          <w:szCs w:val="84"/>
          <w:lang w:val="zh-CN"/>
          <w14:textFill>
            <w14:solidFill>
              <w14:schemeClr w14:val="tx1"/>
            </w14:solidFill>
          </w14:textFill>
        </w:rPr>
        <w:t>报</w:t>
      </w:r>
    </w:p>
    <w:p>
      <w:pPr>
        <w:spacing w:line="360" w:lineRule="auto"/>
        <w:jc w:val="center"/>
        <w:rPr>
          <w:rFonts w:ascii="仿宋" w:hAnsi="仿宋" w:eastAsia="仿宋"/>
          <w:b/>
          <w:color w:val="000000" w:themeColor="text1"/>
          <w:sz w:val="84"/>
          <w:szCs w:val="84"/>
          <w:lang w:val="zh-CN"/>
          <w14:textFill>
            <w14:solidFill>
              <w14:schemeClr w14:val="tx1"/>
            </w14:solidFill>
          </w14:textFill>
        </w:rPr>
      </w:pPr>
      <w:r>
        <w:rPr>
          <w:rFonts w:hint="eastAsia" w:ascii="仿宋" w:hAnsi="仿宋" w:eastAsia="仿宋"/>
          <w:b/>
          <w:color w:val="000000" w:themeColor="text1"/>
          <w:sz w:val="84"/>
          <w:szCs w:val="84"/>
          <w:lang w:val="zh-CN"/>
          <w14:textFill>
            <w14:solidFill>
              <w14:schemeClr w14:val="tx1"/>
            </w14:solidFill>
          </w14:textFill>
        </w:rPr>
        <w:t>指</w:t>
      </w:r>
    </w:p>
    <w:p>
      <w:pPr>
        <w:spacing w:line="360" w:lineRule="auto"/>
        <w:jc w:val="center"/>
        <w:rPr>
          <w:rFonts w:ascii="仿宋" w:hAnsi="仿宋" w:eastAsia="仿宋"/>
          <w:bCs/>
          <w:color w:val="000000" w:themeColor="text1"/>
          <w:sz w:val="84"/>
          <w:szCs w:val="84"/>
          <w:lang w:val="zh-CN"/>
          <w14:textFill>
            <w14:solidFill>
              <w14:schemeClr w14:val="tx1"/>
            </w14:solidFill>
          </w14:textFill>
        </w:rPr>
      </w:pPr>
      <w:r>
        <w:rPr>
          <w:rFonts w:hint="eastAsia" w:ascii="仿宋" w:hAnsi="仿宋" w:eastAsia="仿宋"/>
          <w:b/>
          <w:color w:val="000000" w:themeColor="text1"/>
          <w:sz w:val="84"/>
          <w:szCs w:val="84"/>
          <w:lang w:val="zh-CN"/>
          <w14:textFill>
            <w14:solidFill>
              <w14:schemeClr w14:val="tx1"/>
            </w14:solidFill>
          </w14:textFill>
        </w:rPr>
        <w:t>南</w:t>
      </w:r>
    </w:p>
    <w:p>
      <w:pPr>
        <w:pStyle w:val="52"/>
        <w:spacing w:before="0" w:line="360" w:lineRule="auto"/>
        <w:jc w:val="center"/>
        <w:rPr>
          <w:rFonts w:hint="default" w:ascii="仿宋" w:hAnsi="仿宋" w:eastAsia="仿宋"/>
          <w:color w:val="000000" w:themeColor="text1"/>
          <w:sz w:val="64"/>
          <w:szCs w:val="64"/>
          <w:lang w:val="zh-CN"/>
          <w14:textFill>
            <w14:solidFill>
              <w14:schemeClr w14:val="tx1"/>
            </w14:solidFill>
          </w14:textFill>
        </w:rPr>
      </w:pPr>
    </w:p>
    <w:p>
      <w:pPr>
        <w:spacing w:line="360" w:lineRule="auto"/>
        <w:jc w:val="center"/>
        <w:rPr>
          <w:rFonts w:ascii="仿宋" w:hAnsi="仿宋" w:eastAsia="仿宋"/>
          <w:b/>
          <w:color w:val="000000" w:themeColor="text1"/>
          <w:sz w:val="36"/>
          <w:szCs w:val="36"/>
          <w:lang w:val="zh-CN"/>
          <w14:textFill>
            <w14:solidFill>
              <w14:schemeClr w14:val="tx1"/>
            </w14:solidFill>
          </w14:textFill>
        </w:rPr>
      </w:pPr>
    </w:p>
    <w:p>
      <w:pPr>
        <w:spacing w:line="288" w:lineRule="auto"/>
        <w:jc w:val="center"/>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安徽省教育厅</w:t>
      </w:r>
      <w:r>
        <w:rPr>
          <w:rFonts w:ascii="仿宋" w:hAnsi="仿宋" w:eastAsia="仿宋"/>
          <w:color w:val="000000" w:themeColor="text1"/>
          <w:szCs w:val="32"/>
          <w14:textFill>
            <w14:solidFill>
              <w14:schemeClr w14:val="tx1"/>
            </w14:solidFill>
          </w14:textFill>
        </w:rPr>
        <w:t xml:space="preserve"> </w:t>
      </w:r>
      <w:r>
        <w:rPr>
          <w:rFonts w:hint="eastAsia" w:ascii="仿宋" w:hAnsi="仿宋" w:eastAsia="仿宋"/>
          <w:color w:val="000000" w:themeColor="text1"/>
          <w:szCs w:val="32"/>
          <w14:textFill>
            <w14:solidFill>
              <w14:schemeClr w14:val="tx1"/>
            </w14:solidFill>
          </w14:textFill>
        </w:rPr>
        <w:t>制</w:t>
      </w:r>
    </w:p>
    <w:p>
      <w:pPr>
        <w:spacing w:line="288" w:lineRule="auto"/>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2021</w:t>
      </w:r>
      <w:r>
        <w:rPr>
          <w:rFonts w:hint="eastAsia" w:ascii="仿宋" w:hAnsi="仿宋" w:eastAsia="仿宋"/>
          <w:color w:val="000000" w:themeColor="text1"/>
          <w14:textFill>
            <w14:solidFill>
              <w14:schemeClr w14:val="tx1"/>
            </w14:solidFill>
          </w14:textFill>
        </w:rPr>
        <w:t>年</w:t>
      </w:r>
      <w:r>
        <w:rPr>
          <w:rFonts w:ascii="仿宋" w:hAnsi="仿宋" w:eastAsia="仿宋"/>
          <w:color w:val="000000" w:themeColor="text1"/>
          <w14:textFill>
            <w14:solidFill>
              <w14:schemeClr w14:val="tx1"/>
            </w14:solidFill>
          </w14:textFill>
        </w:rPr>
        <w:t>9</w:t>
      </w:r>
      <w:r>
        <w:rPr>
          <w:rFonts w:hint="eastAsia" w:ascii="仿宋" w:hAnsi="仿宋" w:eastAsia="仿宋"/>
          <w:color w:val="000000" w:themeColor="text1"/>
          <w14:textFill>
            <w14:solidFill>
              <w14:schemeClr w14:val="tx1"/>
            </w14:solidFill>
          </w14:textFill>
        </w:rPr>
        <w:t>月</w:t>
      </w:r>
    </w:p>
    <w:p>
      <w:pPr>
        <w:pStyle w:val="52"/>
        <w:tabs>
          <w:tab w:val="left" w:pos="3520"/>
        </w:tabs>
        <w:adjustRightInd w:val="0"/>
        <w:snapToGrid w:val="0"/>
        <w:spacing w:before="0" w:line="240" w:lineRule="auto"/>
        <w:jc w:val="center"/>
        <w:rPr>
          <w:rFonts w:hint="default" w:ascii="仿宋" w:hAnsi="仿宋" w:eastAsia="仿宋"/>
          <w:b/>
          <w:color w:val="000000" w:themeColor="text1"/>
          <w:sz w:val="72"/>
          <w:szCs w:val="72"/>
          <w14:textFill>
            <w14:solidFill>
              <w14:schemeClr w14:val="tx1"/>
            </w14:solidFill>
          </w14:textFill>
        </w:rPr>
      </w:pPr>
    </w:p>
    <w:p>
      <w:pPr>
        <w:adjustRightInd w:val="0"/>
        <w:snapToGrid w:val="0"/>
        <w:jc w:val="center"/>
        <w:rPr>
          <w:rFonts w:ascii="仿宋" w:hAnsi="仿宋" w:eastAsia="仿宋" w:cs="黑体"/>
          <w:b/>
          <w:color w:val="000000" w:themeColor="text1"/>
          <w:sz w:val="72"/>
          <w:szCs w:val="72"/>
          <w14:textFill>
            <w14:solidFill>
              <w14:schemeClr w14:val="tx1"/>
            </w14:solidFill>
          </w14:textFill>
        </w:rPr>
      </w:pPr>
    </w:p>
    <w:p>
      <w:pPr>
        <w:pStyle w:val="52"/>
        <w:tabs>
          <w:tab w:val="left" w:pos="3520"/>
        </w:tabs>
        <w:adjustRightInd w:val="0"/>
        <w:snapToGrid w:val="0"/>
        <w:spacing w:before="0" w:line="240" w:lineRule="auto"/>
        <w:jc w:val="center"/>
        <w:rPr>
          <w:rFonts w:hint="default" w:ascii="仿宋" w:hAnsi="仿宋" w:eastAsia="仿宋"/>
          <w:b/>
          <w:color w:val="000000" w:themeColor="text1"/>
          <w:sz w:val="44"/>
          <w:szCs w:val="44"/>
          <w:lang w:val="zh-CN"/>
          <w14:textFill>
            <w14:solidFill>
              <w14:schemeClr w14:val="tx1"/>
            </w14:solidFill>
          </w14:textFill>
        </w:rPr>
      </w:pPr>
      <w:r>
        <w:rPr>
          <w:rFonts w:ascii="仿宋" w:hAnsi="仿宋" w:eastAsia="仿宋"/>
          <w:b/>
          <w:color w:val="000000" w:themeColor="text1"/>
          <w:sz w:val="44"/>
          <w:szCs w:val="44"/>
          <w14:textFill>
            <w14:solidFill>
              <w14:schemeClr w14:val="tx1"/>
            </w14:solidFill>
          </w14:textFill>
        </w:rPr>
        <w:t>目</w:t>
      </w:r>
      <w:r>
        <w:rPr>
          <w:rFonts w:hint="default" w:ascii="仿宋" w:hAnsi="仿宋" w:eastAsia="仿宋"/>
          <w:b/>
          <w:color w:val="000000" w:themeColor="text1"/>
          <w:sz w:val="44"/>
          <w:szCs w:val="44"/>
          <w14:textFill>
            <w14:solidFill>
              <w14:schemeClr w14:val="tx1"/>
            </w14:solidFill>
          </w14:textFill>
        </w:rPr>
        <w:t xml:space="preserve">  </w:t>
      </w:r>
      <w:r>
        <w:rPr>
          <w:rFonts w:ascii="仿宋" w:hAnsi="仿宋" w:eastAsia="仿宋"/>
          <w:b/>
          <w:color w:val="000000" w:themeColor="text1"/>
          <w:sz w:val="44"/>
          <w:szCs w:val="44"/>
          <w14:textFill>
            <w14:solidFill>
              <w14:schemeClr w14:val="tx1"/>
            </w14:solidFill>
          </w14:textFill>
        </w:rPr>
        <w:t>录</w:t>
      </w:r>
      <w:bookmarkEnd w:id="15"/>
      <w:bookmarkEnd w:id="16"/>
      <w:bookmarkEnd w:id="17"/>
      <w:bookmarkEnd w:id="18"/>
    </w:p>
    <w:p>
      <w:pPr>
        <w:pStyle w:val="12"/>
        <w:rPr>
          <w:rFonts w:asciiTheme="minorHAnsi" w:hAnsiTheme="minorHAnsi" w:eastAsiaTheme="minorEastAsia" w:cstheme="minorBidi"/>
          <w:b w:val="0"/>
          <w:kern w:val="2"/>
          <w:sz w:val="30"/>
          <w:szCs w:val="30"/>
        </w:rPr>
      </w:pPr>
      <w:bookmarkStart w:id="35" w:name="_Toc9326"/>
      <w:r>
        <w:rPr>
          <w:rFonts w:hint="eastAsia" w:ascii="方正仿宋_GBK" w:hAnsi="仿宋"/>
          <w:b w:val="0"/>
          <w:bCs/>
          <w:color w:val="000000" w:themeColor="text1"/>
          <w:sz w:val="30"/>
          <w:szCs w:val="30"/>
          <w14:textFill>
            <w14:solidFill>
              <w14:schemeClr w14:val="tx1"/>
            </w14:solidFill>
          </w14:textFill>
        </w:rPr>
        <w:fldChar w:fldCharType="begin"/>
      </w:r>
      <w:r>
        <w:rPr>
          <w:rFonts w:hint="eastAsia" w:ascii="方正仿宋_GBK" w:hAnsi="仿宋"/>
          <w:b w:val="0"/>
          <w:bCs/>
          <w:color w:val="000000" w:themeColor="text1"/>
          <w:sz w:val="30"/>
          <w:szCs w:val="30"/>
          <w14:textFill>
            <w14:solidFill>
              <w14:schemeClr w14:val="tx1"/>
            </w14:solidFill>
          </w14:textFill>
        </w:rPr>
        <w:instrText xml:space="preserve">TOC \o "1-3" \h \u </w:instrText>
      </w:r>
      <w:r>
        <w:rPr>
          <w:rFonts w:hint="eastAsia" w:ascii="方正仿宋_GBK" w:hAnsi="仿宋"/>
          <w:b w:val="0"/>
          <w:bCs/>
          <w:color w:val="000000" w:themeColor="text1"/>
          <w:sz w:val="30"/>
          <w:szCs w:val="30"/>
          <w14:textFill>
            <w14:solidFill>
              <w14:schemeClr w14:val="tx1"/>
            </w14:solidFill>
          </w14:textFill>
        </w:rPr>
        <w:fldChar w:fldCharType="separate"/>
      </w:r>
      <w:r>
        <w:fldChar w:fldCharType="begin"/>
      </w:r>
      <w:r>
        <w:instrText xml:space="preserve"> HYPERLINK \l "_Toc86068878" </w:instrText>
      </w:r>
      <w:r>
        <w:fldChar w:fldCharType="separate"/>
      </w:r>
      <w:r>
        <w:rPr>
          <w:rStyle w:val="24"/>
          <w:rFonts w:ascii="仿宋" w:hAnsi="仿宋" w:eastAsia="仿宋"/>
          <w:bCs/>
          <w:sz w:val="30"/>
          <w:szCs w:val="30"/>
        </w:rPr>
        <w:t>一流本科建设项目</w:t>
      </w:r>
      <w:r>
        <w:rPr>
          <w:sz w:val="30"/>
          <w:szCs w:val="30"/>
        </w:rPr>
        <w:tab/>
      </w:r>
      <w:r>
        <w:rPr>
          <w:sz w:val="30"/>
          <w:szCs w:val="30"/>
        </w:rPr>
        <w:fldChar w:fldCharType="begin"/>
      </w:r>
      <w:r>
        <w:rPr>
          <w:sz w:val="30"/>
          <w:szCs w:val="30"/>
        </w:rPr>
        <w:instrText xml:space="preserve"> PAGEREF _Toc86068878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3"/>
        <w:tabs>
          <w:tab w:val="right" w:leader="dot" w:pos="8290"/>
        </w:tabs>
        <w:ind w:left="640"/>
        <w:rPr>
          <w:rFonts w:asciiTheme="minorHAnsi" w:hAnsiTheme="minorHAnsi" w:eastAsiaTheme="minorEastAsia" w:cstheme="minorBidi"/>
          <w:sz w:val="30"/>
          <w:szCs w:val="30"/>
        </w:rPr>
      </w:pPr>
      <w:r>
        <w:fldChar w:fldCharType="begin"/>
      </w:r>
      <w:r>
        <w:instrText xml:space="preserve"> HYPERLINK \l "_Toc86068879" </w:instrText>
      </w:r>
      <w:r>
        <w:fldChar w:fldCharType="separate"/>
      </w:r>
      <w:r>
        <w:rPr>
          <w:rStyle w:val="24"/>
          <w:rFonts w:ascii="仿宋" w:hAnsi="仿宋" w:eastAsia="仿宋"/>
          <w:kern w:val="0"/>
          <w:sz w:val="30"/>
          <w:szCs w:val="30"/>
        </w:rPr>
        <w:t>1.一流专业</w:t>
      </w:r>
      <w:r>
        <w:rPr>
          <w:sz w:val="30"/>
          <w:szCs w:val="30"/>
        </w:rPr>
        <w:tab/>
      </w:r>
      <w:r>
        <w:rPr>
          <w:sz w:val="30"/>
          <w:szCs w:val="30"/>
        </w:rPr>
        <w:fldChar w:fldCharType="begin"/>
      </w:r>
      <w:r>
        <w:rPr>
          <w:sz w:val="30"/>
          <w:szCs w:val="30"/>
        </w:rPr>
        <w:instrText xml:space="preserve"> PAGEREF _Toc86068879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"_Toc86068880" </w:instrText>
      </w:r>
      <w:r>
        <w:fldChar w:fldCharType="separate"/>
      </w:r>
      <w:r>
        <w:rPr>
          <w:rStyle w:val="24"/>
          <w:rFonts w:ascii="仿宋" w:hAnsi="仿宋" w:eastAsia="仿宋"/>
          <w:sz w:val="30"/>
          <w:szCs w:val="30"/>
        </w:rPr>
        <w:t>1-1一流本科专业</w:t>
      </w:r>
      <w:r>
        <w:rPr>
          <w:sz w:val="30"/>
          <w:szCs w:val="30"/>
        </w:rPr>
        <w:tab/>
      </w:r>
      <w:r>
        <w:rPr>
          <w:sz w:val="30"/>
          <w:szCs w:val="30"/>
        </w:rPr>
        <w:fldChar w:fldCharType="begin"/>
      </w:r>
      <w:r>
        <w:rPr>
          <w:sz w:val="30"/>
          <w:szCs w:val="30"/>
        </w:rPr>
        <w:instrText xml:space="preserve"> PAGEREF _Toc86068880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"_Toc86068881" </w:instrText>
      </w:r>
      <w:r>
        <w:fldChar w:fldCharType="separate"/>
      </w:r>
      <w:r>
        <w:rPr>
          <w:rStyle w:val="24"/>
          <w:rFonts w:ascii="仿宋" w:hAnsi="仿宋" w:eastAsia="仿宋"/>
          <w:sz w:val="30"/>
          <w:szCs w:val="30"/>
        </w:rPr>
        <w:t>1-2基础学科拔尖学生培养基地</w:t>
      </w:r>
      <w:r>
        <w:rPr>
          <w:sz w:val="30"/>
          <w:szCs w:val="30"/>
        </w:rPr>
        <w:tab/>
      </w:r>
      <w:r>
        <w:rPr>
          <w:sz w:val="30"/>
          <w:szCs w:val="30"/>
        </w:rPr>
        <w:fldChar w:fldCharType="begin"/>
      </w:r>
      <w:r>
        <w:rPr>
          <w:sz w:val="30"/>
          <w:szCs w:val="30"/>
        </w:rPr>
        <w:instrText xml:space="preserve"> PAGEREF _Toc86068881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"_Toc86068882" </w:instrText>
      </w:r>
      <w:r>
        <w:fldChar w:fldCharType="separate"/>
      </w:r>
      <w:r>
        <w:rPr>
          <w:rStyle w:val="24"/>
          <w:rFonts w:ascii="仿宋" w:hAnsi="仿宋" w:eastAsia="仿宋"/>
          <w:sz w:val="30"/>
          <w:szCs w:val="30"/>
        </w:rPr>
        <w:t>1-3提升专业服务十大新兴产业项目</w:t>
      </w:r>
      <w:r>
        <w:rPr>
          <w:sz w:val="30"/>
          <w:szCs w:val="30"/>
        </w:rPr>
        <w:tab/>
      </w:r>
      <w:r>
        <w:rPr>
          <w:sz w:val="30"/>
          <w:szCs w:val="30"/>
        </w:rPr>
        <w:fldChar w:fldCharType="begin"/>
      </w:r>
      <w:r>
        <w:rPr>
          <w:sz w:val="30"/>
          <w:szCs w:val="30"/>
        </w:rPr>
        <w:instrText xml:space="preserve"> PAGEREF _Toc86068882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"_Toc86068883" </w:instrText>
      </w:r>
      <w:r>
        <w:fldChar w:fldCharType="separate"/>
      </w:r>
      <w:r>
        <w:rPr>
          <w:rStyle w:val="24"/>
          <w:rFonts w:ascii="仿宋" w:hAnsi="仿宋" w:eastAsia="仿宋"/>
          <w:sz w:val="30"/>
          <w:szCs w:val="30"/>
        </w:rPr>
        <w:t>1-4“四新”研究与改革实践项目</w:t>
      </w:r>
      <w:r>
        <w:rPr>
          <w:sz w:val="30"/>
          <w:szCs w:val="30"/>
        </w:rPr>
        <w:tab/>
      </w:r>
      <w:r>
        <w:rPr>
          <w:sz w:val="30"/>
          <w:szCs w:val="30"/>
        </w:rPr>
        <w:fldChar w:fldCharType="begin"/>
      </w:r>
      <w:r>
        <w:rPr>
          <w:sz w:val="30"/>
          <w:szCs w:val="30"/>
        </w:rPr>
        <w:instrText xml:space="preserve"> PAGEREF _Toc86068883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"_Toc86068884" </w:instrText>
      </w:r>
      <w:r>
        <w:fldChar w:fldCharType="separate"/>
      </w:r>
      <w:r>
        <w:rPr>
          <w:rStyle w:val="24"/>
          <w:rFonts w:ascii="仿宋" w:hAnsi="仿宋" w:eastAsia="仿宋"/>
          <w:sz w:val="30"/>
          <w:szCs w:val="30"/>
        </w:rPr>
        <w:t>1-5传统专业改造提升项目</w:t>
      </w:r>
      <w:r>
        <w:rPr>
          <w:sz w:val="30"/>
          <w:szCs w:val="30"/>
        </w:rPr>
        <w:tab/>
      </w:r>
      <w:r>
        <w:rPr>
          <w:sz w:val="30"/>
          <w:szCs w:val="30"/>
        </w:rPr>
        <w:fldChar w:fldCharType="begin"/>
      </w:r>
      <w:r>
        <w:rPr>
          <w:sz w:val="30"/>
          <w:szCs w:val="30"/>
        </w:rPr>
        <w:instrText xml:space="preserve"> PAGEREF _Toc86068884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3"/>
        <w:tabs>
          <w:tab w:val="right" w:leader="dot" w:pos="8290"/>
        </w:tabs>
        <w:ind w:left="640"/>
        <w:rPr>
          <w:rFonts w:asciiTheme="minorHAnsi" w:hAnsiTheme="minorHAnsi" w:eastAsiaTheme="minorEastAsia" w:cstheme="minorBidi"/>
          <w:sz w:val="30"/>
          <w:szCs w:val="30"/>
        </w:rPr>
      </w:pPr>
      <w:r>
        <w:fldChar w:fldCharType="begin"/>
      </w:r>
      <w:r>
        <w:instrText xml:space="preserve"> HYPERLINK \l "_Toc86068885" </w:instrText>
      </w:r>
      <w:r>
        <w:fldChar w:fldCharType="separate"/>
      </w:r>
      <w:r>
        <w:rPr>
          <w:rStyle w:val="24"/>
          <w:rFonts w:ascii="仿宋" w:hAnsi="仿宋" w:eastAsia="仿宋"/>
          <w:kern w:val="0"/>
          <w:sz w:val="30"/>
          <w:szCs w:val="30"/>
        </w:rPr>
        <w:t>2.一流课程</w:t>
      </w:r>
      <w:r>
        <w:rPr>
          <w:sz w:val="30"/>
          <w:szCs w:val="30"/>
        </w:rPr>
        <w:tab/>
      </w:r>
      <w:r>
        <w:rPr>
          <w:sz w:val="30"/>
          <w:szCs w:val="30"/>
        </w:rPr>
        <w:fldChar w:fldCharType="begin"/>
      </w:r>
      <w:r>
        <w:rPr>
          <w:sz w:val="30"/>
          <w:szCs w:val="30"/>
        </w:rPr>
        <w:instrText xml:space="preserve"> PAGEREF _Toc86068885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"_Toc86068886" </w:instrText>
      </w:r>
      <w:r>
        <w:fldChar w:fldCharType="separate"/>
      </w:r>
      <w:r>
        <w:rPr>
          <w:rStyle w:val="24"/>
          <w:rFonts w:ascii="仿宋" w:hAnsi="仿宋" w:eastAsia="仿宋"/>
          <w:sz w:val="30"/>
          <w:szCs w:val="30"/>
        </w:rPr>
        <w:t>2-1线上课程</w:t>
      </w:r>
      <w:r>
        <w:rPr>
          <w:sz w:val="30"/>
          <w:szCs w:val="30"/>
        </w:rPr>
        <w:tab/>
      </w:r>
      <w:r>
        <w:rPr>
          <w:sz w:val="30"/>
          <w:szCs w:val="30"/>
        </w:rPr>
        <w:fldChar w:fldCharType="begin"/>
      </w:r>
      <w:r>
        <w:rPr>
          <w:sz w:val="30"/>
          <w:szCs w:val="30"/>
        </w:rPr>
        <w:instrText xml:space="preserve"> PAGEREF _Toc86068886 \h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"_Toc86068887" </w:instrText>
      </w:r>
      <w:r>
        <w:fldChar w:fldCharType="separate"/>
      </w:r>
      <w:r>
        <w:rPr>
          <w:rStyle w:val="24"/>
          <w:rFonts w:ascii="仿宋" w:hAnsi="仿宋" w:eastAsia="仿宋"/>
          <w:sz w:val="30"/>
          <w:szCs w:val="30"/>
        </w:rPr>
        <w:t>2-2线下课程</w:t>
      </w:r>
      <w:r>
        <w:rPr>
          <w:sz w:val="30"/>
          <w:szCs w:val="30"/>
        </w:rPr>
        <w:tab/>
      </w:r>
      <w:r>
        <w:rPr>
          <w:sz w:val="30"/>
          <w:szCs w:val="30"/>
        </w:rPr>
        <w:fldChar w:fldCharType="begin"/>
      </w:r>
      <w:r>
        <w:rPr>
          <w:sz w:val="30"/>
          <w:szCs w:val="30"/>
        </w:rPr>
        <w:instrText xml:space="preserve"> PAGEREF _Toc86068887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"_Toc86068888" </w:instrText>
      </w:r>
      <w:r>
        <w:fldChar w:fldCharType="separate"/>
      </w:r>
      <w:r>
        <w:rPr>
          <w:rStyle w:val="24"/>
          <w:rFonts w:ascii="仿宋" w:hAnsi="仿宋" w:eastAsia="仿宋"/>
          <w:sz w:val="30"/>
          <w:szCs w:val="30"/>
        </w:rPr>
        <w:t>2-3线上线下混合式课程</w:t>
      </w:r>
      <w:r>
        <w:rPr>
          <w:sz w:val="30"/>
          <w:szCs w:val="30"/>
        </w:rPr>
        <w:tab/>
      </w:r>
      <w:r>
        <w:rPr>
          <w:sz w:val="30"/>
          <w:szCs w:val="30"/>
        </w:rPr>
        <w:fldChar w:fldCharType="begin"/>
      </w:r>
      <w:r>
        <w:rPr>
          <w:sz w:val="30"/>
          <w:szCs w:val="30"/>
        </w:rPr>
        <w:instrText xml:space="preserve"> PAGEREF _Toc86068888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"_Toc86068889" </w:instrText>
      </w:r>
      <w:r>
        <w:fldChar w:fldCharType="separate"/>
      </w:r>
      <w:r>
        <w:rPr>
          <w:rStyle w:val="24"/>
          <w:rFonts w:ascii="仿宋" w:hAnsi="仿宋" w:eastAsia="仿宋"/>
          <w:sz w:val="30"/>
          <w:szCs w:val="30"/>
        </w:rPr>
        <w:t>2-4社会实践课程</w:t>
      </w:r>
      <w:r>
        <w:rPr>
          <w:sz w:val="30"/>
          <w:szCs w:val="30"/>
        </w:rPr>
        <w:tab/>
      </w:r>
      <w:r>
        <w:rPr>
          <w:sz w:val="30"/>
          <w:szCs w:val="30"/>
        </w:rPr>
        <w:fldChar w:fldCharType="begin"/>
      </w:r>
      <w:r>
        <w:rPr>
          <w:sz w:val="30"/>
          <w:szCs w:val="30"/>
        </w:rPr>
        <w:instrText xml:space="preserve"> PAGEREF _Toc86068889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"_Toc86068890" </w:instrText>
      </w:r>
      <w:r>
        <w:fldChar w:fldCharType="separate"/>
      </w:r>
      <w:r>
        <w:rPr>
          <w:rStyle w:val="24"/>
          <w:rFonts w:ascii="仿宋" w:hAnsi="仿宋" w:eastAsia="仿宋"/>
          <w:sz w:val="30"/>
          <w:szCs w:val="30"/>
        </w:rPr>
        <w:t>2-5虚拟仿真实验教学课程</w:t>
      </w:r>
      <w:r>
        <w:rPr>
          <w:sz w:val="30"/>
          <w:szCs w:val="30"/>
        </w:rPr>
        <w:tab/>
      </w:r>
      <w:r>
        <w:rPr>
          <w:sz w:val="30"/>
          <w:szCs w:val="30"/>
        </w:rPr>
        <w:fldChar w:fldCharType="begin"/>
      </w:r>
      <w:r>
        <w:rPr>
          <w:sz w:val="30"/>
          <w:szCs w:val="30"/>
        </w:rPr>
        <w:instrText xml:space="preserve"> PAGEREF _Toc86068890 \h </w:instrText>
      </w:r>
      <w:r>
        <w:rPr>
          <w:sz w:val="30"/>
          <w:szCs w:val="30"/>
        </w:rPr>
        <w:fldChar w:fldCharType="separate"/>
      </w:r>
      <w:r>
        <w:rPr>
          <w:sz w:val="30"/>
          <w:szCs w:val="30"/>
        </w:rPr>
        <w:t>23</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"_Toc86068891" </w:instrText>
      </w:r>
      <w:r>
        <w:fldChar w:fldCharType="separate"/>
      </w:r>
      <w:r>
        <w:rPr>
          <w:rStyle w:val="24"/>
          <w:rFonts w:ascii="仿宋" w:hAnsi="仿宋" w:eastAsia="仿宋"/>
          <w:sz w:val="30"/>
          <w:szCs w:val="30"/>
        </w:rPr>
        <w:t>2-6一流教材</w:t>
      </w:r>
      <w:r>
        <w:rPr>
          <w:sz w:val="30"/>
          <w:szCs w:val="30"/>
        </w:rPr>
        <w:tab/>
      </w:r>
      <w:r>
        <w:rPr>
          <w:sz w:val="30"/>
          <w:szCs w:val="30"/>
        </w:rPr>
        <w:fldChar w:fldCharType="begin"/>
      </w:r>
      <w:r>
        <w:rPr>
          <w:sz w:val="30"/>
          <w:szCs w:val="30"/>
        </w:rPr>
        <w:instrText xml:space="preserve"> PAGEREF _Toc86068891 \h </w:instrText>
      </w:r>
      <w:r>
        <w:rPr>
          <w:sz w:val="30"/>
          <w:szCs w:val="30"/>
        </w:rPr>
        <w:fldChar w:fldCharType="separate"/>
      </w:r>
      <w:r>
        <w:rPr>
          <w:sz w:val="30"/>
          <w:szCs w:val="30"/>
        </w:rPr>
        <w:t>28</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"_Toc86068892" </w:instrText>
      </w:r>
      <w:r>
        <w:fldChar w:fldCharType="separate"/>
      </w:r>
      <w:r>
        <w:rPr>
          <w:rStyle w:val="24"/>
          <w:rFonts w:ascii="仿宋" w:hAnsi="仿宋" w:eastAsia="仿宋"/>
          <w:sz w:val="30"/>
          <w:szCs w:val="30"/>
        </w:rPr>
        <w:t>2-7医学类教学资源库</w:t>
      </w:r>
      <w:r>
        <w:rPr>
          <w:sz w:val="30"/>
          <w:szCs w:val="30"/>
        </w:rPr>
        <w:tab/>
      </w:r>
      <w:r>
        <w:rPr>
          <w:sz w:val="30"/>
          <w:szCs w:val="30"/>
        </w:rPr>
        <w:fldChar w:fldCharType="begin"/>
      </w:r>
      <w:r>
        <w:rPr>
          <w:sz w:val="30"/>
          <w:szCs w:val="30"/>
        </w:rPr>
        <w:instrText xml:space="preserve"> PAGEREF _Toc86068892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13"/>
        <w:tabs>
          <w:tab w:val="right" w:leader="dot" w:pos="8290"/>
        </w:tabs>
        <w:ind w:left="640"/>
        <w:rPr>
          <w:rFonts w:asciiTheme="minorHAnsi" w:hAnsiTheme="minorHAnsi" w:eastAsiaTheme="minorEastAsia" w:cstheme="minorBidi"/>
          <w:sz w:val="30"/>
          <w:szCs w:val="30"/>
        </w:rPr>
      </w:pPr>
      <w:r>
        <w:fldChar w:fldCharType="begin"/>
      </w:r>
      <w:r>
        <w:instrText xml:space="preserve"> HYPERLINK \l "_Toc86068893" </w:instrText>
      </w:r>
      <w:r>
        <w:fldChar w:fldCharType="separate"/>
      </w:r>
      <w:r>
        <w:rPr>
          <w:rStyle w:val="24"/>
          <w:rFonts w:ascii="仿宋" w:hAnsi="仿宋" w:eastAsia="仿宋"/>
          <w:kern w:val="0"/>
          <w:sz w:val="30"/>
          <w:szCs w:val="30"/>
        </w:rPr>
        <w:t>3.一流师资</w:t>
      </w:r>
      <w:r>
        <w:rPr>
          <w:sz w:val="30"/>
          <w:szCs w:val="30"/>
        </w:rPr>
        <w:tab/>
      </w:r>
      <w:r>
        <w:rPr>
          <w:sz w:val="30"/>
          <w:szCs w:val="30"/>
        </w:rPr>
        <w:fldChar w:fldCharType="begin"/>
      </w:r>
      <w:r>
        <w:rPr>
          <w:sz w:val="30"/>
          <w:szCs w:val="30"/>
        </w:rPr>
        <w:instrText xml:space="preserve"> PAGEREF _Toc86068893 \h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"_Toc86068894" </w:instrText>
      </w:r>
      <w:r>
        <w:fldChar w:fldCharType="separate"/>
      </w:r>
      <w:r>
        <w:rPr>
          <w:rStyle w:val="24"/>
          <w:rFonts w:ascii="仿宋" w:hAnsi="仿宋" w:eastAsia="仿宋"/>
          <w:sz w:val="30"/>
          <w:szCs w:val="30"/>
        </w:rPr>
        <w:t>3-1教学团队</w:t>
      </w:r>
      <w:r>
        <w:rPr>
          <w:sz w:val="30"/>
          <w:szCs w:val="30"/>
        </w:rPr>
        <w:tab/>
      </w:r>
      <w:r>
        <w:rPr>
          <w:sz w:val="30"/>
          <w:szCs w:val="30"/>
        </w:rPr>
        <w:fldChar w:fldCharType="begin"/>
      </w:r>
      <w:r>
        <w:rPr>
          <w:sz w:val="30"/>
          <w:szCs w:val="30"/>
        </w:rPr>
        <w:instrText xml:space="preserve"> PAGEREF _Toc86068894 \h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"_Toc86068895" </w:instrText>
      </w:r>
      <w:r>
        <w:fldChar w:fldCharType="separate"/>
      </w:r>
      <w:r>
        <w:rPr>
          <w:rStyle w:val="24"/>
          <w:rFonts w:ascii="仿宋" w:hAnsi="仿宋" w:eastAsia="仿宋"/>
          <w:sz w:val="30"/>
          <w:szCs w:val="30"/>
        </w:rPr>
        <w:t>3-2教学名师</w:t>
      </w:r>
      <w:r>
        <w:rPr>
          <w:sz w:val="30"/>
          <w:szCs w:val="30"/>
        </w:rPr>
        <w:tab/>
      </w:r>
      <w:r>
        <w:rPr>
          <w:sz w:val="30"/>
          <w:szCs w:val="30"/>
        </w:rPr>
        <w:fldChar w:fldCharType="begin"/>
      </w:r>
      <w:r>
        <w:rPr>
          <w:sz w:val="30"/>
          <w:szCs w:val="30"/>
        </w:rPr>
        <w:instrText xml:space="preserve"> PAGEREF _Toc86068895 \h </w:instrText>
      </w:r>
      <w:r>
        <w:rPr>
          <w:sz w:val="30"/>
          <w:szCs w:val="30"/>
        </w:rPr>
        <w:fldChar w:fldCharType="separate"/>
      </w:r>
      <w:r>
        <w:rPr>
          <w:sz w:val="30"/>
          <w:szCs w:val="30"/>
        </w:rPr>
        <w:t>34</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"_Toc86068896" </w:instrText>
      </w:r>
      <w:r>
        <w:fldChar w:fldCharType="separate"/>
      </w:r>
      <w:r>
        <w:rPr>
          <w:rStyle w:val="24"/>
          <w:rFonts w:ascii="仿宋" w:hAnsi="仿宋" w:eastAsia="仿宋"/>
          <w:sz w:val="30"/>
          <w:szCs w:val="30"/>
        </w:rPr>
        <w:t>3-3教坛新秀</w:t>
      </w:r>
      <w:r>
        <w:rPr>
          <w:sz w:val="30"/>
          <w:szCs w:val="30"/>
        </w:rPr>
        <w:tab/>
      </w:r>
      <w:r>
        <w:rPr>
          <w:sz w:val="30"/>
          <w:szCs w:val="30"/>
        </w:rPr>
        <w:fldChar w:fldCharType="begin"/>
      </w:r>
      <w:r>
        <w:rPr>
          <w:sz w:val="30"/>
          <w:szCs w:val="30"/>
        </w:rPr>
        <w:instrText xml:space="preserve"> PAGEREF _Toc86068896 \h </w:instrText>
      </w:r>
      <w:r>
        <w:rPr>
          <w:sz w:val="30"/>
          <w:szCs w:val="30"/>
        </w:rPr>
        <w:fldChar w:fldCharType="separate"/>
      </w:r>
      <w:r>
        <w:rPr>
          <w:sz w:val="30"/>
          <w:szCs w:val="30"/>
        </w:rPr>
        <w:t>35</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"_Toc86068897" </w:instrText>
      </w:r>
      <w:r>
        <w:fldChar w:fldCharType="separate"/>
      </w:r>
      <w:r>
        <w:rPr>
          <w:rStyle w:val="24"/>
          <w:rFonts w:ascii="仿宋" w:hAnsi="仿宋" w:eastAsia="仿宋"/>
          <w:sz w:val="30"/>
          <w:szCs w:val="30"/>
        </w:rPr>
        <w:t>3-4高水平导师</w:t>
      </w:r>
      <w:r>
        <w:rPr>
          <w:sz w:val="30"/>
          <w:szCs w:val="30"/>
        </w:rPr>
        <w:tab/>
      </w:r>
      <w:r>
        <w:rPr>
          <w:sz w:val="30"/>
          <w:szCs w:val="30"/>
        </w:rPr>
        <w:fldChar w:fldCharType="begin"/>
      </w:r>
      <w:r>
        <w:rPr>
          <w:sz w:val="30"/>
          <w:szCs w:val="30"/>
        </w:rPr>
        <w:instrText xml:space="preserve"> PAGEREF _Toc86068897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13"/>
        <w:tabs>
          <w:tab w:val="right" w:leader="dot" w:pos="8290"/>
        </w:tabs>
        <w:ind w:left="640"/>
        <w:rPr>
          <w:rFonts w:asciiTheme="minorHAnsi" w:hAnsiTheme="minorHAnsi" w:eastAsiaTheme="minorEastAsia" w:cstheme="minorBidi"/>
          <w:sz w:val="30"/>
          <w:szCs w:val="30"/>
        </w:rPr>
      </w:pPr>
      <w:r>
        <w:fldChar w:fldCharType="begin"/>
      </w:r>
      <w:r>
        <w:instrText xml:space="preserve"> HYPERLINK \l "_Toc86068898" </w:instrText>
      </w:r>
      <w:r>
        <w:fldChar w:fldCharType="separate"/>
      </w:r>
      <w:r>
        <w:rPr>
          <w:rStyle w:val="24"/>
          <w:rFonts w:ascii="仿宋" w:hAnsi="仿宋" w:eastAsia="仿宋"/>
          <w:kern w:val="0"/>
          <w:sz w:val="30"/>
          <w:szCs w:val="30"/>
        </w:rPr>
        <w:t>4.实验与实践教学项目</w:t>
      </w:r>
      <w:r>
        <w:rPr>
          <w:sz w:val="30"/>
          <w:szCs w:val="30"/>
        </w:rPr>
        <w:tab/>
      </w:r>
      <w:r>
        <w:rPr>
          <w:sz w:val="30"/>
          <w:szCs w:val="30"/>
        </w:rPr>
        <w:fldChar w:fldCharType="begin"/>
      </w:r>
      <w:r>
        <w:rPr>
          <w:sz w:val="30"/>
          <w:szCs w:val="30"/>
        </w:rPr>
        <w:instrText xml:space="preserve"> PAGEREF _Toc86068898 \h </w:instrText>
      </w:r>
      <w:r>
        <w:rPr>
          <w:sz w:val="30"/>
          <w:szCs w:val="30"/>
        </w:rPr>
        <w:fldChar w:fldCharType="separate"/>
      </w:r>
      <w:r>
        <w:rPr>
          <w:sz w:val="30"/>
          <w:szCs w:val="30"/>
        </w:rPr>
        <w:t>37</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"_Toc86068899" </w:instrText>
      </w:r>
      <w:r>
        <w:fldChar w:fldCharType="separate"/>
      </w:r>
      <w:r>
        <w:rPr>
          <w:rStyle w:val="24"/>
          <w:rFonts w:ascii="仿宋" w:hAnsi="仿宋" w:eastAsia="仿宋"/>
          <w:sz w:val="30"/>
          <w:szCs w:val="30"/>
        </w:rPr>
        <w:t>4-1示范实验实训中心</w:t>
      </w:r>
      <w:r>
        <w:rPr>
          <w:sz w:val="30"/>
          <w:szCs w:val="30"/>
        </w:rPr>
        <w:tab/>
      </w:r>
      <w:r>
        <w:rPr>
          <w:sz w:val="30"/>
          <w:szCs w:val="30"/>
        </w:rPr>
        <w:fldChar w:fldCharType="begin"/>
      </w:r>
      <w:r>
        <w:rPr>
          <w:sz w:val="30"/>
          <w:szCs w:val="30"/>
        </w:rPr>
        <w:instrText xml:space="preserve"> PAGEREF _Toc86068899 \h </w:instrText>
      </w:r>
      <w:r>
        <w:rPr>
          <w:sz w:val="30"/>
          <w:szCs w:val="30"/>
        </w:rPr>
        <w:fldChar w:fldCharType="separate"/>
      </w:r>
      <w:r>
        <w:rPr>
          <w:sz w:val="30"/>
          <w:szCs w:val="30"/>
        </w:rPr>
        <w:t>38</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"_Toc86068900" </w:instrText>
      </w:r>
      <w:r>
        <w:fldChar w:fldCharType="separate"/>
      </w:r>
      <w:r>
        <w:rPr>
          <w:rStyle w:val="24"/>
          <w:rFonts w:ascii="仿宋" w:hAnsi="仿宋" w:eastAsia="仿宋"/>
          <w:sz w:val="30"/>
          <w:szCs w:val="30"/>
        </w:rPr>
        <w:t>4-2 双创实践教学中心</w:t>
      </w:r>
      <w:r>
        <w:rPr>
          <w:sz w:val="30"/>
          <w:szCs w:val="30"/>
        </w:rPr>
        <w:tab/>
      </w:r>
      <w:r>
        <w:rPr>
          <w:sz w:val="30"/>
          <w:szCs w:val="30"/>
        </w:rPr>
        <w:fldChar w:fldCharType="begin"/>
      </w:r>
      <w:r>
        <w:rPr>
          <w:sz w:val="30"/>
          <w:szCs w:val="30"/>
        </w:rPr>
        <w:instrText xml:space="preserve"> PAGEREF _Toc86068900 \h </w:instrText>
      </w:r>
      <w:r>
        <w:rPr>
          <w:sz w:val="30"/>
          <w:szCs w:val="30"/>
        </w:rPr>
        <w:fldChar w:fldCharType="separate"/>
      </w:r>
      <w:r>
        <w:rPr>
          <w:sz w:val="30"/>
          <w:szCs w:val="30"/>
        </w:rPr>
        <w:t>40</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"_Toc86068901" </w:instrText>
      </w:r>
      <w:r>
        <w:fldChar w:fldCharType="separate"/>
      </w:r>
      <w:r>
        <w:rPr>
          <w:rStyle w:val="24"/>
          <w:rFonts w:ascii="仿宋" w:hAnsi="仿宋" w:eastAsia="仿宋"/>
          <w:sz w:val="30"/>
          <w:szCs w:val="30"/>
        </w:rPr>
        <w:t>4-3校企合作实践教育基地</w:t>
      </w:r>
      <w:r>
        <w:rPr>
          <w:sz w:val="30"/>
          <w:szCs w:val="30"/>
        </w:rPr>
        <w:tab/>
      </w:r>
      <w:r>
        <w:rPr>
          <w:sz w:val="30"/>
          <w:szCs w:val="30"/>
        </w:rPr>
        <w:fldChar w:fldCharType="begin"/>
      </w:r>
      <w:r>
        <w:rPr>
          <w:sz w:val="30"/>
          <w:szCs w:val="30"/>
        </w:rPr>
        <w:instrText xml:space="preserve"> PAGEREF _Toc86068901 \h </w:instrText>
      </w:r>
      <w:r>
        <w:rPr>
          <w:sz w:val="30"/>
          <w:szCs w:val="30"/>
        </w:rPr>
        <w:fldChar w:fldCharType="separate"/>
      </w:r>
      <w:r>
        <w:rPr>
          <w:sz w:val="30"/>
          <w:szCs w:val="30"/>
        </w:rPr>
        <w:t>45</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"_Toc86068902" </w:instrText>
      </w:r>
      <w:r>
        <w:fldChar w:fldCharType="separate"/>
      </w:r>
      <w:r>
        <w:rPr>
          <w:rStyle w:val="24"/>
          <w:rFonts w:ascii="仿宋" w:hAnsi="仿宋" w:eastAsia="仿宋"/>
          <w:sz w:val="30"/>
          <w:szCs w:val="30"/>
        </w:rPr>
        <w:t>4-4研究生协同育人基地</w:t>
      </w:r>
      <w:r>
        <w:rPr>
          <w:sz w:val="30"/>
          <w:szCs w:val="30"/>
        </w:rPr>
        <w:tab/>
      </w:r>
      <w:r>
        <w:rPr>
          <w:sz w:val="30"/>
          <w:szCs w:val="30"/>
        </w:rPr>
        <w:fldChar w:fldCharType="begin"/>
      </w:r>
      <w:r>
        <w:rPr>
          <w:sz w:val="30"/>
          <w:szCs w:val="30"/>
        </w:rPr>
        <w:instrText xml:space="preserve"> PAGEREF _Toc86068902 \h </w:instrText>
      </w:r>
      <w:r>
        <w:rPr>
          <w:sz w:val="30"/>
          <w:szCs w:val="30"/>
        </w:rPr>
        <w:fldChar w:fldCharType="separate"/>
      </w:r>
      <w:r>
        <w:rPr>
          <w:sz w:val="30"/>
          <w:szCs w:val="30"/>
        </w:rPr>
        <w:t>47</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"_Toc86068903" </w:instrText>
      </w:r>
      <w:r>
        <w:fldChar w:fldCharType="separate"/>
      </w:r>
      <w:r>
        <w:rPr>
          <w:rStyle w:val="24"/>
          <w:rFonts w:ascii="仿宋" w:hAnsi="仿宋" w:eastAsia="仿宋"/>
          <w:sz w:val="30"/>
          <w:szCs w:val="30"/>
        </w:rPr>
        <w:t>4-5 耕读教育实践基地</w:t>
      </w:r>
      <w:r>
        <w:rPr>
          <w:sz w:val="30"/>
          <w:szCs w:val="30"/>
        </w:rPr>
        <w:tab/>
      </w:r>
      <w:r>
        <w:rPr>
          <w:sz w:val="30"/>
          <w:szCs w:val="30"/>
        </w:rPr>
        <w:fldChar w:fldCharType="begin"/>
      </w:r>
      <w:r>
        <w:rPr>
          <w:sz w:val="30"/>
          <w:szCs w:val="30"/>
        </w:rPr>
        <w:instrText xml:space="preserve"> PAGEREF _Toc86068903 \h </w:instrText>
      </w:r>
      <w:r>
        <w:rPr>
          <w:sz w:val="30"/>
          <w:szCs w:val="30"/>
        </w:rPr>
        <w:fldChar w:fldCharType="separate"/>
      </w:r>
      <w:r>
        <w:rPr>
          <w:sz w:val="30"/>
          <w:szCs w:val="30"/>
        </w:rPr>
        <w:t>50</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"_Toc86068904" </w:instrText>
      </w:r>
      <w:r>
        <w:fldChar w:fldCharType="separate"/>
      </w:r>
      <w:r>
        <w:rPr>
          <w:rStyle w:val="24"/>
          <w:rFonts w:ascii="仿宋" w:hAnsi="仿宋" w:eastAsia="仿宋"/>
          <w:sz w:val="30"/>
          <w:szCs w:val="30"/>
        </w:rPr>
        <w:t>4-6 全科医学实践教学示范基地</w:t>
      </w:r>
      <w:r>
        <w:rPr>
          <w:sz w:val="30"/>
          <w:szCs w:val="30"/>
        </w:rPr>
        <w:tab/>
      </w:r>
      <w:r>
        <w:rPr>
          <w:sz w:val="30"/>
          <w:szCs w:val="30"/>
        </w:rPr>
        <w:fldChar w:fldCharType="begin"/>
      </w:r>
      <w:r>
        <w:rPr>
          <w:sz w:val="30"/>
          <w:szCs w:val="30"/>
        </w:rPr>
        <w:instrText xml:space="preserve"> PAGEREF _Toc86068904 \h </w:instrText>
      </w:r>
      <w:r>
        <w:rPr>
          <w:sz w:val="30"/>
          <w:szCs w:val="30"/>
        </w:rPr>
        <w:fldChar w:fldCharType="separate"/>
      </w:r>
      <w:r>
        <w:rPr>
          <w:sz w:val="30"/>
          <w:szCs w:val="30"/>
        </w:rPr>
        <w:t>53</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"_Toc86068905" </w:instrText>
      </w:r>
      <w:r>
        <w:fldChar w:fldCharType="separate"/>
      </w:r>
      <w:r>
        <w:rPr>
          <w:rStyle w:val="24"/>
          <w:rFonts w:ascii="仿宋" w:hAnsi="仿宋" w:eastAsia="仿宋"/>
          <w:sz w:val="30"/>
          <w:szCs w:val="30"/>
        </w:rPr>
        <w:t>4-7 虚拟教研室</w:t>
      </w:r>
      <w:r>
        <w:rPr>
          <w:sz w:val="30"/>
          <w:szCs w:val="30"/>
        </w:rPr>
        <w:tab/>
      </w:r>
      <w:r>
        <w:rPr>
          <w:sz w:val="30"/>
          <w:szCs w:val="30"/>
        </w:rPr>
        <w:fldChar w:fldCharType="begin"/>
      </w:r>
      <w:r>
        <w:rPr>
          <w:sz w:val="30"/>
          <w:szCs w:val="30"/>
        </w:rPr>
        <w:instrText xml:space="preserve"> PAGEREF _Toc86068905 \h </w:instrText>
      </w:r>
      <w:r>
        <w:rPr>
          <w:sz w:val="30"/>
          <w:szCs w:val="30"/>
        </w:rPr>
        <w:fldChar w:fldCharType="separate"/>
      </w:r>
      <w:r>
        <w:rPr>
          <w:sz w:val="30"/>
          <w:szCs w:val="30"/>
        </w:rPr>
        <w:t>54</w:t>
      </w:r>
      <w:r>
        <w:rPr>
          <w:sz w:val="30"/>
          <w:szCs w:val="30"/>
        </w:rPr>
        <w:fldChar w:fldCharType="end"/>
      </w:r>
      <w:r>
        <w:rPr>
          <w:sz w:val="30"/>
          <w:szCs w:val="30"/>
        </w:rPr>
        <w:fldChar w:fldCharType="end"/>
      </w:r>
    </w:p>
    <w:p>
      <w:pPr>
        <w:pStyle w:val="13"/>
        <w:tabs>
          <w:tab w:val="right" w:leader="dot" w:pos="8290"/>
        </w:tabs>
        <w:ind w:left="640"/>
        <w:rPr>
          <w:rFonts w:asciiTheme="minorHAnsi" w:hAnsiTheme="minorHAnsi" w:eastAsiaTheme="minorEastAsia" w:cstheme="minorBidi"/>
          <w:sz w:val="30"/>
          <w:szCs w:val="30"/>
        </w:rPr>
      </w:pPr>
      <w:r>
        <w:fldChar w:fldCharType="begin"/>
      </w:r>
      <w:r>
        <w:instrText xml:space="preserve"> HYPERLINK \l "_Toc86068906" </w:instrText>
      </w:r>
      <w:r>
        <w:fldChar w:fldCharType="separate"/>
      </w:r>
      <w:r>
        <w:rPr>
          <w:rStyle w:val="24"/>
          <w:rFonts w:ascii="仿宋" w:hAnsi="仿宋" w:eastAsia="仿宋"/>
          <w:kern w:val="0"/>
          <w:sz w:val="30"/>
          <w:szCs w:val="30"/>
        </w:rPr>
        <w:t>5.教育教学改革研究项目</w:t>
      </w:r>
      <w:r>
        <w:rPr>
          <w:sz w:val="30"/>
          <w:szCs w:val="30"/>
        </w:rPr>
        <w:tab/>
      </w:r>
      <w:r>
        <w:rPr>
          <w:sz w:val="30"/>
          <w:szCs w:val="30"/>
        </w:rPr>
        <w:fldChar w:fldCharType="begin"/>
      </w:r>
      <w:r>
        <w:rPr>
          <w:sz w:val="30"/>
          <w:szCs w:val="30"/>
        </w:rPr>
        <w:instrText xml:space="preserve"> PAGEREF _Toc86068906 \h </w:instrText>
      </w:r>
      <w:r>
        <w:rPr>
          <w:sz w:val="30"/>
          <w:szCs w:val="30"/>
        </w:rPr>
        <w:fldChar w:fldCharType="separate"/>
      </w:r>
      <w:r>
        <w:rPr>
          <w:sz w:val="30"/>
          <w:szCs w:val="30"/>
        </w:rPr>
        <w:t>56</w:t>
      </w:r>
      <w:r>
        <w:rPr>
          <w:sz w:val="30"/>
          <w:szCs w:val="30"/>
        </w:rPr>
        <w:fldChar w:fldCharType="end"/>
      </w:r>
      <w:r>
        <w:rPr>
          <w:sz w:val="30"/>
          <w:szCs w:val="30"/>
        </w:rPr>
        <w:fldChar w:fldCharType="end"/>
      </w:r>
    </w:p>
    <w:p>
      <w:pPr>
        <w:pStyle w:val="13"/>
        <w:tabs>
          <w:tab w:val="right" w:leader="dot" w:pos="8290"/>
        </w:tabs>
        <w:ind w:left="640"/>
        <w:rPr>
          <w:rFonts w:asciiTheme="minorHAnsi" w:hAnsiTheme="minorHAnsi" w:eastAsiaTheme="minorEastAsia" w:cstheme="minorBidi"/>
          <w:sz w:val="30"/>
          <w:szCs w:val="30"/>
        </w:rPr>
      </w:pPr>
      <w:r>
        <w:fldChar w:fldCharType="begin"/>
      </w:r>
      <w:r>
        <w:instrText xml:space="preserve"> HYPERLINK \l "_Toc86068907" </w:instrText>
      </w:r>
      <w:r>
        <w:fldChar w:fldCharType="separate"/>
      </w:r>
      <w:r>
        <w:rPr>
          <w:rStyle w:val="24"/>
          <w:rFonts w:ascii="仿宋" w:hAnsi="仿宋" w:eastAsia="仿宋"/>
          <w:kern w:val="0"/>
          <w:sz w:val="30"/>
          <w:szCs w:val="30"/>
        </w:rPr>
        <w:t>6.大学生创新创业训练计划</w:t>
      </w:r>
      <w:r>
        <w:rPr>
          <w:sz w:val="30"/>
          <w:szCs w:val="30"/>
        </w:rPr>
        <w:tab/>
      </w:r>
      <w:r>
        <w:rPr>
          <w:sz w:val="30"/>
          <w:szCs w:val="30"/>
        </w:rPr>
        <w:fldChar w:fldCharType="begin"/>
      </w:r>
      <w:r>
        <w:rPr>
          <w:sz w:val="30"/>
          <w:szCs w:val="30"/>
        </w:rPr>
        <w:instrText xml:space="preserve"> PAGEREF _Toc86068907 \h </w:instrText>
      </w:r>
      <w:r>
        <w:rPr>
          <w:sz w:val="30"/>
          <w:szCs w:val="30"/>
        </w:rPr>
        <w:fldChar w:fldCharType="separate"/>
      </w:r>
      <w:r>
        <w:rPr>
          <w:sz w:val="30"/>
          <w:szCs w:val="30"/>
        </w:rPr>
        <w:t>58</w:t>
      </w:r>
      <w:r>
        <w:rPr>
          <w:sz w:val="30"/>
          <w:szCs w:val="30"/>
        </w:rPr>
        <w:fldChar w:fldCharType="end"/>
      </w:r>
      <w:r>
        <w:rPr>
          <w:sz w:val="30"/>
          <w:szCs w:val="30"/>
        </w:rPr>
        <w:fldChar w:fldCharType="end"/>
      </w:r>
    </w:p>
    <w:p>
      <w:pPr>
        <w:pStyle w:val="13"/>
        <w:tabs>
          <w:tab w:val="right" w:leader="dot" w:pos="8290"/>
        </w:tabs>
        <w:ind w:left="640"/>
        <w:rPr>
          <w:rFonts w:asciiTheme="minorHAnsi" w:hAnsiTheme="minorHAnsi" w:eastAsiaTheme="minorEastAsia" w:cstheme="minorBidi"/>
          <w:sz w:val="30"/>
          <w:szCs w:val="30"/>
        </w:rPr>
      </w:pPr>
      <w:r>
        <w:fldChar w:fldCharType="begin"/>
      </w:r>
      <w:r>
        <w:instrText xml:space="preserve"> HYPERLINK \l "_Toc86068908" </w:instrText>
      </w:r>
      <w:r>
        <w:fldChar w:fldCharType="separate"/>
      </w:r>
      <w:r>
        <w:rPr>
          <w:rStyle w:val="24"/>
          <w:rFonts w:ascii="仿宋" w:hAnsi="仿宋" w:eastAsia="仿宋"/>
          <w:kern w:val="0"/>
          <w:sz w:val="30"/>
          <w:szCs w:val="30"/>
        </w:rPr>
        <w:t>7.课程思政建设项目</w:t>
      </w:r>
      <w:r>
        <w:rPr>
          <w:sz w:val="30"/>
          <w:szCs w:val="30"/>
        </w:rPr>
        <w:tab/>
      </w:r>
      <w:r>
        <w:rPr>
          <w:sz w:val="30"/>
          <w:szCs w:val="30"/>
        </w:rPr>
        <w:fldChar w:fldCharType="begin"/>
      </w:r>
      <w:r>
        <w:rPr>
          <w:sz w:val="30"/>
          <w:szCs w:val="30"/>
        </w:rPr>
        <w:instrText xml:space="preserve"> PAGEREF _Toc86068908 \h </w:instrText>
      </w:r>
      <w:r>
        <w:rPr>
          <w:sz w:val="30"/>
          <w:szCs w:val="30"/>
        </w:rPr>
        <w:fldChar w:fldCharType="separate"/>
      </w:r>
      <w:r>
        <w:rPr>
          <w:sz w:val="30"/>
          <w:szCs w:val="30"/>
        </w:rPr>
        <w:t>59</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"_Toc86068909" </w:instrText>
      </w:r>
      <w:r>
        <w:fldChar w:fldCharType="separate"/>
      </w:r>
      <w:r>
        <w:rPr>
          <w:rStyle w:val="24"/>
          <w:rFonts w:ascii="仿宋" w:hAnsi="仿宋" w:eastAsia="仿宋"/>
          <w:sz w:val="30"/>
          <w:szCs w:val="30"/>
        </w:rPr>
        <w:t>7-1课程思政建设示范中心</w:t>
      </w:r>
      <w:r>
        <w:rPr>
          <w:sz w:val="30"/>
          <w:szCs w:val="30"/>
        </w:rPr>
        <w:tab/>
      </w:r>
      <w:r>
        <w:rPr>
          <w:sz w:val="30"/>
          <w:szCs w:val="30"/>
        </w:rPr>
        <w:fldChar w:fldCharType="begin"/>
      </w:r>
      <w:r>
        <w:rPr>
          <w:sz w:val="30"/>
          <w:szCs w:val="30"/>
        </w:rPr>
        <w:instrText xml:space="preserve"> PAGEREF _Toc86068909 \h </w:instrText>
      </w:r>
      <w:r>
        <w:rPr>
          <w:sz w:val="30"/>
          <w:szCs w:val="30"/>
        </w:rPr>
        <w:fldChar w:fldCharType="separate"/>
      </w:r>
      <w:r>
        <w:rPr>
          <w:sz w:val="30"/>
          <w:szCs w:val="30"/>
        </w:rPr>
        <w:t>59</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"_Toc86068910" </w:instrText>
      </w:r>
      <w:r>
        <w:fldChar w:fldCharType="separate"/>
      </w:r>
      <w:r>
        <w:rPr>
          <w:rStyle w:val="24"/>
          <w:rFonts w:ascii="仿宋" w:hAnsi="仿宋" w:eastAsia="仿宋"/>
          <w:sz w:val="30"/>
          <w:szCs w:val="30"/>
        </w:rPr>
        <w:t>7-2课程思政示范课程</w:t>
      </w:r>
      <w:r>
        <w:rPr>
          <w:sz w:val="30"/>
          <w:szCs w:val="30"/>
        </w:rPr>
        <w:tab/>
      </w:r>
      <w:r>
        <w:rPr>
          <w:sz w:val="30"/>
          <w:szCs w:val="30"/>
        </w:rPr>
        <w:fldChar w:fldCharType="begin"/>
      </w:r>
      <w:r>
        <w:rPr>
          <w:sz w:val="30"/>
          <w:szCs w:val="30"/>
        </w:rPr>
        <w:instrText xml:space="preserve"> PAGEREF _Toc86068910 \h </w:instrText>
      </w:r>
      <w:r>
        <w:rPr>
          <w:sz w:val="30"/>
          <w:szCs w:val="30"/>
        </w:rPr>
        <w:fldChar w:fldCharType="separate"/>
      </w:r>
      <w:r>
        <w:rPr>
          <w:sz w:val="30"/>
          <w:szCs w:val="30"/>
        </w:rPr>
        <w:t>61</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"_Toc86068911" </w:instrText>
      </w:r>
      <w:r>
        <w:fldChar w:fldCharType="separate"/>
      </w:r>
      <w:r>
        <w:rPr>
          <w:rStyle w:val="24"/>
          <w:rFonts w:ascii="仿宋" w:hAnsi="仿宋" w:eastAsia="仿宋"/>
          <w:sz w:val="30"/>
          <w:szCs w:val="30"/>
        </w:rPr>
        <w:t>7-3课程思政教学资源库</w:t>
      </w:r>
      <w:r>
        <w:rPr>
          <w:sz w:val="30"/>
          <w:szCs w:val="30"/>
        </w:rPr>
        <w:tab/>
      </w:r>
      <w:r>
        <w:rPr>
          <w:sz w:val="30"/>
          <w:szCs w:val="30"/>
        </w:rPr>
        <w:fldChar w:fldCharType="begin"/>
      </w:r>
      <w:r>
        <w:rPr>
          <w:sz w:val="30"/>
          <w:szCs w:val="30"/>
        </w:rPr>
        <w:instrText xml:space="preserve"> PAGEREF _Toc86068911 \h </w:instrText>
      </w:r>
      <w:r>
        <w:rPr>
          <w:sz w:val="30"/>
          <w:szCs w:val="30"/>
        </w:rPr>
        <w:fldChar w:fldCharType="separate"/>
      </w:r>
      <w:r>
        <w:rPr>
          <w:sz w:val="30"/>
          <w:szCs w:val="30"/>
        </w:rPr>
        <w:t>63</w:t>
      </w:r>
      <w:r>
        <w:rPr>
          <w:sz w:val="30"/>
          <w:szCs w:val="30"/>
        </w:rPr>
        <w:fldChar w:fldCharType="end"/>
      </w:r>
      <w:r>
        <w:rPr>
          <w:sz w:val="30"/>
          <w:szCs w:val="30"/>
        </w:rPr>
        <w:fldChar w:fldCharType="end"/>
      </w:r>
    </w:p>
    <w:p>
      <w:pPr>
        <w:pStyle w:val="13"/>
        <w:tabs>
          <w:tab w:val="right" w:leader="dot" w:pos="8290"/>
        </w:tabs>
        <w:ind w:left="640"/>
        <w:rPr>
          <w:rFonts w:asciiTheme="minorHAnsi" w:hAnsiTheme="minorHAnsi" w:eastAsiaTheme="minorEastAsia" w:cstheme="minorBidi"/>
          <w:sz w:val="30"/>
          <w:szCs w:val="30"/>
        </w:rPr>
      </w:pPr>
      <w:r>
        <w:fldChar w:fldCharType="begin"/>
      </w:r>
      <w:r>
        <w:instrText xml:space="preserve"> HYPERLINK \l "_Toc86068912" </w:instrText>
      </w:r>
      <w:r>
        <w:fldChar w:fldCharType="separate"/>
      </w:r>
      <w:r>
        <w:rPr>
          <w:rStyle w:val="24"/>
          <w:rFonts w:ascii="仿宋" w:hAnsi="仿宋" w:eastAsia="仿宋"/>
          <w:kern w:val="0"/>
          <w:sz w:val="30"/>
          <w:szCs w:val="30"/>
        </w:rPr>
        <w:t>8.教学成果奖</w:t>
      </w:r>
      <w:r>
        <w:rPr>
          <w:sz w:val="30"/>
          <w:szCs w:val="30"/>
        </w:rPr>
        <w:tab/>
      </w:r>
      <w:r>
        <w:rPr>
          <w:sz w:val="30"/>
          <w:szCs w:val="30"/>
        </w:rPr>
        <w:fldChar w:fldCharType="begin"/>
      </w:r>
      <w:r>
        <w:rPr>
          <w:sz w:val="30"/>
          <w:szCs w:val="30"/>
        </w:rPr>
        <w:instrText xml:space="preserve"> PAGEREF _Toc86068912 \h </w:instrText>
      </w:r>
      <w:r>
        <w:rPr>
          <w:sz w:val="30"/>
          <w:szCs w:val="30"/>
        </w:rPr>
        <w:fldChar w:fldCharType="separate"/>
      </w:r>
      <w:r>
        <w:rPr>
          <w:sz w:val="30"/>
          <w:szCs w:val="30"/>
        </w:rPr>
        <w:t>64</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"_Toc86068913" </w:instrText>
      </w:r>
      <w:r>
        <w:fldChar w:fldCharType="separate"/>
      </w:r>
      <w:r>
        <w:rPr>
          <w:rStyle w:val="24"/>
          <w:rFonts w:ascii="仿宋" w:hAnsi="仿宋" w:eastAsia="仿宋"/>
          <w:sz w:val="30"/>
          <w:szCs w:val="30"/>
        </w:rPr>
        <w:t>8-1本科教育教学成果奖</w:t>
      </w:r>
      <w:r>
        <w:rPr>
          <w:sz w:val="30"/>
          <w:szCs w:val="30"/>
        </w:rPr>
        <w:tab/>
      </w:r>
      <w:r>
        <w:rPr>
          <w:sz w:val="30"/>
          <w:szCs w:val="30"/>
        </w:rPr>
        <w:fldChar w:fldCharType="begin"/>
      </w:r>
      <w:r>
        <w:rPr>
          <w:sz w:val="30"/>
          <w:szCs w:val="30"/>
        </w:rPr>
        <w:instrText xml:space="preserve"> PAGEREF _Toc86068913 \h </w:instrText>
      </w:r>
      <w:r>
        <w:rPr>
          <w:sz w:val="30"/>
          <w:szCs w:val="30"/>
        </w:rPr>
        <w:fldChar w:fldCharType="separate"/>
      </w:r>
      <w:r>
        <w:rPr>
          <w:sz w:val="30"/>
          <w:szCs w:val="30"/>
        </w:rPr>
        <w:t>64</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"_Toc86068914" </w:instrText>
      </w:r>
      <w:r>
        <w:fldChar w:fldCharType="separate"/>
      </w:r>
      <w:r>
        <w:rPr>
          <w:rStyle w:val="24"/>
          <w:rFonts w:ascii="仿宋" w:hAnsi="仿宋" w:eastAsia="仿宋"/>
          <w:sz w:val="30"/>
          <w:szCs w:val="30"/>
        </w:rPr>
        <w:t>8-2研究生教育教学成果奖</w:t>
      </w:r>
      <w:r>
        <w:rPr>
          <w:sz w:val="30"/>
          <w:szCs w:val="30"/>
        </w:rPr>
        <w:tab/>
      </w:r>
      <w:r>
        <w:rPr>
          <w:sz w:val="30"/>
          <w:szCs w:val="30"/>
        </w:rPr>
        <w:fldChar w:fldCharType="begin"/>
      </w:r>
      <w:r>
        <w:rPr>
          <w:sz w:val="30"/>
          <w:szCs w:val="30"/>
        </w:rPr>
        <w:instrText xml:space="preserve"> PAGEREF _Toc86068914 \h </w:instrText>
      </w:r>
      <w:r>
        <w:rPr>
          <w:sz w:val="30"/>
          <w:szCs w:val="30"/>
        </w:rPr>
        <w:fldChar w:fldCharType="separate"/>
      </w:r>
      <w:r>
        <w:rPr>
          <w:sz w:val="30"/>
          <w:szCs w:val="30"/>
        </w:rPr>
        <w:t>66</w:t>
      </w:r>
      <w:r>
        <w:rPr>
          <w:sz w:val="30"/>
          <w:szCs w:val="30"/>
        </w:rPr>
        <w:fldChar w:fldCharType="end"/>
      </w:r>
      <w:r>
        <w:rPr>
          <w:sz w:val="30"/>
          <w:szCs w:val="30"/>
        </w:rPr>
        <w:fldChar w:fldCharType="end"/>
      </w:r>
    </w:p>
    <w:p>
      <w:pPr>
        <w:pStyle w:val="13"/>
        <w:tabs>
          <w:tab w:val="right" w:leader="dot" w:pos="8290"/>
        </w:tabs>
        <w:ind w:left="640"/>
        <w:rPr>
          <w:rFonts w:asciiTheme="minorHAnsi" w:hAnsiTheme="minorHAnsi" w:eastAsiaTheme="minorEastAsia" w:cstheme="minorBidi"/>
          <w:sz w:val="30"/>
          <w:szCs w:val="30"/>
        </w:rPr>
      </w:pPr>
      <w:r>
        <w:fldChar w:fldCharType="begin"/>
      </w:r>
      <w:r>
        <w:instrText xml:space="preserve"> HYPERLINK \l "_Toc86068915" </w:instrText>
      </w:r>
      <w:r>
        <w:fldChar w:fldCharType="separate"/>
      </w:r>
      <w:r>
        <w:rPr>
          <w:rStyle w:val="24"/>
          <w:rFonts w:ascii="仿宋" w:hAnsi="仿宋" w:eastAsia="仿宋" w:cs="黑体"/>
          <w:b/>
          <w:kern w:val="0"/>
          <w:sz w:val="30"/>
          <w:szCs w:val="30"/>
        </w:rPr>
        <w:t>9.产业学院</w:t>
      </w:r>
      <w:r>
        <w:rPr>
          <w:sz w:val="30"/>
          <w:szCs w:val="30"/>
        </w:rPr>
        <w:tab/>
      </w:r>
      <w:r>
        <w:rPr>
          <w:sz w:val="30"/>
          <w:szCs w:val="30"/>
        </w:rPr>
        <w:fldChar w:fldCharType="begin"/>
      </w:r>
      <w:r>
        <w:rPr>
          <w:sz w:val="30"/>
          <w:szCs w:val="30"/>
        </w:rPr>
        <w:instrText xml:space="preserve"> PAGEREF _Toc86068915 \h </w:instrText>
      </w:r>
      <w:r>
        <w:rPr>
          <w:sz w:val="30"/>
          <w:szCs w:val="30"/>
        </w:rPr>
        <w:fldChar w:fldCharType="separate"/>
      </w:r>
      <w:r>
        <w:rPr>
          <w:sz w:val="30"/>
          <w:szCs w:val="30"/>
        </w:rPr>
        <w:t>68</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"_Toc86068916" </w:instrText>
      </w:r>
      <w:r>
        <w:fldChar w:fldCharType="separate"/>
      </w:r>
      <w:r>
        <w:rPr>
          <w:rStyle w:val="24"/>
          <w:rFonts w:ascii="仿宋" w:hAnsi="仿宋" w:eastAsia="仿宋"/>
          <w:sz w:val="30"/>
          <w:szCs w:val="30"/>
        </w:rPr>
        <w:t>9-1现代产业学院</w:t>
      </w:r>
      <w:r>
        <w:rPr>
          <w:sz w:val="30"/>
          <w:szCs w:val="30"/>
        </w:rPr>
        <w:tab/>
      </w:r>
      <w:r>
        <w:rPr>
          <w:sz w:val="30"/>
          <w:szCs w:val="30"/>
        </w:rPr>
        <w:fldChar w:fldCharType="begin"/>
      </w:r>
      <w:r>
        <w:rPr>
          <w:sz w:val="30"/>
          <w:szCs w:val="30"/>
        </w:rPr>
        <w:instrText xml:space="preserve"> PAGEREF _Toc86068916 \h </w:instrText>
      </w:r>
      <w:r>
        <w:rPr>
          <w:sz w:val="30"/>
          <w:szCs w:val="30"/>
        </w:rPr>
        <w:fldChar w:fldCharType="separate"/>
      </w:r>
      <w:r>
        <w:rPr>
          <w:sz w:val="30"/>
          <w:szCs w:val="30"/>
        </w:rPr>
        <w:t>69</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"_Toc86068917" </w:instrText>
      </w:r>
      <w:r>
        <w:fldChar w:fldCharType="separate"/>
      </w:r>
      <w:r>
        <w:rPr>
          <w:rStyle w:val="24"/>
          <w:rFonts w:ascii="仿宋" w:hAnsi="仿宋" w:eastAsia="仿宋"/>
          <w:sz w:val="30"/>
          <w:szCs w:val="30"/>
        </w:rPr>
        <w:t>9-2示范微电子学院</w:t>
      </w:r>
      <w:r>
        <w:rPr>
          <w:sz w:val="30"/>
          <w:szCs w:val="30"/>
        </w:rPr>
        <w:tab/>
      </w:r>
      <w:r>
        <w:rPr>
          <w:sz w:val="30"/>
          <w:szCs w:val="30"/>
        </w:rPr>
        <w:fldChar w:fldCharType="begin"/>
      </w:r>
      <w:r>
        <w:rPr>
          <w:sz w:val="30"/>
          <w:szCs w:val="30"/>
        </w:rPr>
        <w:instrText xml:space="preserve"> PAGEREF _Toc86068917 \h </w:instrText>
      </w:r>
      <w:r>
        <w:rPr>
          <w:sz w:val="30"/>
          <w:szCs w:val="30"/>
        </w:rPr>
        <w:fldChar w:fldCharType="separate"/>
      </w:r>
      <w:r>
        <w:rPr>
          <w:sz w:val="30"/>
          <w:szCs w:val="30"/>
        </w:rPr>
        <w:t>73</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"_Toc86068918" </w:instrText>
      </w:r>
      <w:r>
        <w:fldChar w:fldCharType="separate"/>
      </w:r>
      <w:r>
        <w:rPr>
          <w:rStyle w:val="24"/>
          <w:rFonts w:ascii="仿宋" w:hAnsi="仿宋" w:eastAsia="仿宋"/>
          <w:sz w:val="30"/>
          <w:szCs w:val="30"/>
        </w:rPr>
        <w:t>9-3网络安全学院</w:t>
      </w:r>
      <w:r>
        <w:rPr>
          <w:sz w:val="30"/>
          <w:szCs w:val="30"/>
        </w:rPr>
        <w:tab/>
      </w:r>
      <w:r>
        <w:rPr>
          <w:sz w:val="30"/>
          <w:szCs w:val="30"/>
        </w:rPr>
        <w:fldChar w:fldCharType="begin"/>
      </w:r>
      <w:r>
        <w:rPr>
          <w:sz w:val="30"/>
          <w:szCs w:val="30"/>
        </w:rPr>
        <w:instrText xml:space="preserve"> PAGEREF _Toc86068918 \h </w:instrText>
      </w:r>
      <w:r>
        <w:rPr>
          <w:sz w:val="30"/>
          <w:szCs w:val="30"/>
        </w:rPr>
        <w:fldChar w:fldCharType="separate"/>
      </w:r>
      <w:r>
        <w:rPr>
          <w:sz w:val="30"/>
          <w:szCs w:val="30"/>
        </w:rPr>
        <w:t>74</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"_Toc86068919" </w:instrText>
      </w:r>
      <w:r>
        <w:fldChar w:fldCharType="separate"/>
      </w:r>
      <w:r>
        <w:rPr>
          <w:rStyle w:val="24"/>
          <w:rFonts w:ascii="仿宋" w:hAnsi="仿宋" w:eastAsia="仿宋"/>
          <w:sz w:val="30"/>
          <w:szCs w:val="30"/>
        </w:rPr>
        <w:t>9-4未来技术学院</w:t>
      </w:r>
      <w:r>
        <w:rPr>
          <w:sz w:val="30"/>
          <w:szCs w:val="30"/>
        </w:rPr>
        <w:tab/>
      </w:r>
      <w:r>
        <w:rPr>
          <w:sz w:val="30"/>
          <w:szCs w:val="30"/>
        </w:rPr>
        <w:fldChar w:fldCharType="begin"/>
      </w:r>
      <w:r>
        <w:rPr>
          <w:sz w:val="30"/>
          <w:szCs w:val="30"/>
        </w:rPr>
        <w:instrText xml:space="preserve"> PAGEREF _Toc86068919 \h </w:instrText>
      </w:r>
      <w:r>
        <w:rPr>
          <w:sz w:val="30"/>
          <w:szCs w:val="30"/>
        </w:rPr>
        <w:fldChar w:fldCharType="separate"/>
      </w:r>
      <w:r>
        <w:rPr>
          <w:sz w:val="30"/>
          <w:szCs w:val="30"/>
        </w:rPr>
        <w:t>76</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"_Toc86068920" </w:instrText>
      </w:r>
      <w:r>
        <w:fldChar w:fldCharType="separate"/>
      </w:r>
      <w:r>
        <w:rPr>
          <w:rStyle w:val="24"/>
          <w:rFonts w:ascii="仿宋" w:hAnsi="仿宋" w:eastAsia="仿宋"/>
          <w:sz w:val="30"/>
          <w:szCs w:val="30"/>
        </w:rPr>
        <w:t>9-5储能技术学院</w:t>
      </w:r>
      <w:r>
        <w:rPr>
          <w:sz w:val="30"/>
          <w:szCs w:val="30"/>
        </w:rPr>
        <w:tab/>
      </w:r>
      <w:r>
        <w:rPr>
          <w:sz w:val="30"/>
          <w:szCs w:val="30"/>
        </w:rPr>
        <w:fldChar w:fldCharType="begin"/>
      </w:r>
      <w:r>
        <w:rPr>
          <w:sz w:val="30"/>
          <w:szCs w:val="30"/>
        </w:rPr>
        <w:instrText xml:space="preserve"> PAGEREF _Toc86068920 \h </w:instrText>
      </w:r>
      <w:r>
        <w:rPr>
          <w:sz w:val="30"/>
          <w:szCs w:val="30"/>
        </w:rPr>
        <w:fldChar w:fldCharType="separate"/>
      </w:r>
      <w:r>
        <w:rPr>
          <w:sz w:val="30"/>
          <w:szCs w:val="30"/>
        </w:rPr>
        <w:t>79</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"_Toc86068921" </w:instrText>
      </w:r>
      <w:r>
        <w:fldChar w:fldCharType="separate"/>
      </w:r>
      <w:r>
        <w:rPr>
          <w:rStyle w:val="24"/>
          <w:rFonts w:ascii="仿宋" w:hAnsi="仿宋" w:eastAsia="仿宋"/>
          <w:sz w:val="30"/>
          <w:szCs w:val="30"/>
        </w:rPr>
        <w:t>9-6特色示范软件学院</w:t>
      </w:r>
      <w:r>
        <w:rPr>
          <w:sz w:val="30"/>
          <w:szCs w:val="30"/>
        </w:rPr>
        <w:tab/>
      </w:r>
      <w:r>
        <w:rPr>
          <w:sz w:val="30"/>
          <w:szCs w:val="30"/>
        </w:rPr>
        <w:fldChar w:fldCharType="begin"/>
      </w:r>
      <w:r>
        <w:rPr>
          <w:sz w:val="30"/>
          <w:szCs w:val="30"/>
        </w:rPr>
        <w:instrText xml:space="preserve"> PAGEREF _Toc86068921 \h </w:instrText>
      </w:r>
      <w:r>
        <w:rPr>
          <w:sz w:val="30"/>
          <w:szCs w:val="30"/>
        </w:rPr>
        <w:fldChar w:fldCharType="separate"/>
      </w:r>
      <w:r>
        <w:rPr>
          <w:sz w:val="30"/>
          <w:szCs w:val="30"/>
        </w:rPr>
        <w:t>82</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"_Toc86068922" </w:instrText>
      </w:r>
      <w:r>
        <w:fldChar w:fldCharType="separate"/>
      </w:r>
      <w:r>
        <w:rPr>
          <w:rStyle w:val="24"/>
          <w:rFonts w:ascii="仿宋" w:hAnsi="仿宋" w:eastAsia="仿宋"/>
          <w:sz w:val="30"/>
          <w:szCs w:val="30"/>
        </w:rPr>
        <w:t>9-7智慧农业学院</w:t>
      </w:r>
      <w:r>
        <w:rPr>
          <w:sz w:val="30"/>
          <w:szCs w:val="30"/>
        </w:rPr>
        <w:tab/>
      </w:r>
      <w:r>
        <w:rPr>
          <w:sz w:val="30"/>
          <w:szCs w:val="30"/>
        </w:rPr>
        <w:fldChar w:fldCharType="begin"/>
      </w:r>
      <w:r>
        <w:rPr>
          <w:sz w:val="30"/>
          <w:szCs w:val="30"/>
        </w:rPr>
        <w:instrText xml:space="preserve"> PAGEREF _Toc86068922 \h </w:instrText>
      </w:r>
      <w:r>
        <w:rPr>
          <w:sz w:val="30"/>
          <w:szCs w:val="30"/>
        </w:rPr>
        <w:fldChar w:fldCharType="separate"/>
      </w:r>
      <w:r>
        <w:rPr>
          <w:sz w:val="30"/>
          <w:szCs w:val="30"/>
        </w:rPr>
        <w:t>84</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"_Toc86068923" </w:instrText>
      </w:r>
      <w:r>
        <w:fldChar w:fldCharType="separate"/>
      </w:r>
      <w:r>
        <w:rPr>
          <w:rStyle w:val="24"/>
          <w:rFonts w:ascii="仿宋" w:hAnsi="仿宋" w:eastAsia="仿宋"/>
          <w:sz w:val="30"/>
          <w:szCs w:val="30"/>
        </w:rPr>
        <w:t>9-8高水平公共卫生学院</w:t>
      </w:r>
      <w:r>
        <w:rPr>
          <w:sz w:val="30"/>
          <w:szCs w:val="30"/>
        </w:rPr>
        <w:tab/>
      </w:r>
      <w:r>
        <w:rPr>
          <w:sz w:val="30"/>
          <w:szCs w:val="30"/>
        </w:rPr>
        <w:fldChar w:fldCharType="begin"/>
      </w:r>
      <w:r>
        <w:rPr>
          <w:sz w:val="30"/>
          <w:szCs w:val="30"/>
        </w:rPr>
        <w:instrText xml:space="preserve"> PAGEREF _Toc86068923 \h </w:instrText>
      </w:r>
      <w:r>
        <w:rPr>
          <w:sz w:val="30"/>
          <w:szCs w:val="30"/>
        </w:rPr>
        <w:fldChar w:fldCharType="separate"/>
      </w:r>
      <w:r>
        <w:rPr>
          <w:sz w:val="30"/>
          <w:szCs w:val="30"/>
        </w:rPr>
        <w:t>85</w:t>
      </w:r>
      <w:r>
        <w:rPr>
          <w:sz w:val="30"/>
          <w:szCs w:val="30"/>
        </w:rPr>
        <w:fldChar w:fldCharType="end"/>
      </w:r>
      <w:r>
        <w:rPr>
          <w:sz w:val="30"/>
          <w:szCs w:val="30"/>
        </w:rPr>
        <w:fldChar w:fldCharType="end"/>
      </w:r>
    </w:p>
    <w:p>
      <w:pPr>
        <w:pStyle w:val="7"/>
        <w:tabs>
          <w:tab w:val="right" w:leader="dot" w:pos="8290"/>
        </w:tabs>
        <w:rPr>
          <w:rFonts w:asciiTheme="minorHAnsi" w:hAnsiTheme="minorHAnsi" w:eastAsiaTheme="minorEastAsia" w:cstheme="minorBidi"/>
          <w:kern w:val="2"/>
          <w:sz w:val="30"/>
          <w:szCs w:val="30"/>
        </w:rPr>
      </w:pPr>
      <w:r>
        <w:fldChar w:fldCharType="begin"/>
      </w:r>
      <w:r>
        <w:instrText xml:space="preserve"> HYPERLINK \l "_Toc86068924" </w:instrText>
      </w:r>
      <w:r>
        <w:fldChar w:fldCharType="separate"/>
      </w:r>
      <w:r>
        <w:rPr>
          <w:rStyle w:val="24"/>
          <w:rFonts w:ascii="仿宋" w:hAnsi="仿宋" w:eastAsia="仿宋"/>
          <w:sz w:val="30"/>
          <w:szCs w:val="30"/>
        </w:rPr>
        <w:t>9-9双创学院</w:t>
      </w:r>
      <w:r>
        <w:rPr>
          <w:sz w:val="30"/>
          <w:szCs w:val="30"/>
        </w:rPr>
        <w:tab/>
      </w:r>
      <w:r>
        <w:rPr>
          <w:sz w:val="30"/>
          <w:szCs w:val="30"/>
        </w:rPr>
        <w:fldChar w:fldCharType="begin"/>
      </w:r>
      <w:r>
        <w:rPr>
          <w:sz w:val="30"/>
          <w:szCs w:val="30"/>
        </w:rPr>
        <w:instrText xml:space="preserve"> PAGEREF _Toc86068924 \h </w:instrText>
      </w:r>
      <w:r>
        <w:rPr>
          <w:sz w:val="30"/>
          <w:szCs w:val="30"/>
        </w:rPr>
        <w:fldChar w:fldCharType="separate"/>
      </w:r>
      <w:r>
        <w:rPr>
          <w:sz w:val="30"/>
          <w:szCs w:val="30"/>
        </w:rPr>
        <w:t>86</w:t>
      </w:r>
      <w:r>
        <w:rPr>
          <w:sz w:val="30"/>
          <w:szCs w:val="30"/>
        </w:rPr>
        <w:fldChar w:fldCharType="end"/>
      </w:r>
      <w:r>
        <w:rPr>
          <w:sz w:val="30"/>
          <w:szCs w:val="30"/>
        </w:rPr>
        <w:fldChar w:fldCharType="end"/>
      </w:r>
    </w:p>
    <w:p>
      <w:pPr>
        <w:rPr>
          <w:rFonts w:ascii="仿宋" w:hAnsi="仿宋" w:eastAsia="仿宋"/>
          <w:bCs/>
          <w:color w:val="000000" w:themeColor="text1"/>
          <w:sz w:val="28"/>
          <w:szCs w:val="28"/>
          <w14:textFill>
            <w14:solidFill>
              <w14:schemeClr w14:val="tx1"/>
            </w14:solidFill>
          </w14:textFill>
        </w:rPr>
        <w:sectPr>
          <w:headerReference r:id="rId3" w:type="first"/>
          <w:footerReference r:id="rId6" w:type="first"/>
          <w:footerReference r:id="rId4" w:type="default"/>
          <w:footerReference r:id="rId5" w:type="even"/>
          <w:pgSz w:w="11900" w:h="16840"/>
          <w:pgMar w:top="1440" w:right="1800" w:bottom="1440" w:left="1800" w:header="851" w:footer="662" w:gutter="0"/>
          <w:pgNumType w:start="1"/>
          <w:cols w:space="720" w:num="1"/>
          <w:titlePg/>
          <w:docGrid w:type="lines" w:linePitch="312" w:charSpace="0"/>
        </w:sectPr>
      </w:pPr>
      <w:r>
        <w:rPr>
          <w:rFonts w:hint="eastAsia" w:ascii="方正仿宋_GBK" w:hAnsi="仿宋"/>
          <w:bCs/>
          <w:color w:val="000000" w:themeColor="text1"/>
          <w:sz w:val="30"/>
          <w:szCs w:val="30"/>
          <w14:textFill>
            <w14:solidFill>
              <w14:schemeClr w14:val="tx1"/>
            </w14:solidFill>
          </w14:textFill>
        </w:rPr>
        <w:fldChar w:fldCharType="end"/>
      </w:r>
      <w:bookmarkEnd w:id="35"/>
    </w:p>
    <w:p>
      <w:pPr>
        <w:jc w:val="center"/>
        <w:outlineLvl w:val="0"/>
        <w:rPr>
          <w:rFonts w:ascii="仿宋" w:hAnsi="仿宋" w:eastAsia="仿宋"/>
          <w:b/>
          <w:bCs/>
          <w:color w:val="000000" w:themeColor="text1"/>
          <w:kern w:val="0"/>
          <w:sz w:val="44"/>
          <w:szCs w:val="44"/>
          <w14:textFill>
            <w14:solidFill>
              <w14:schemeClr w14:val="tx1"/>
            </w14:solidFill>
          </w14:textFill>
        </w:rPr>
      </w:pPr>
      <w:bookmarkStart w:id="36" w:name="_Toc27130"/>
      <w:bookmarkStart w:id="37" w:name="_Toc86068878"/>
      <w:bookmarkStart w:id="38" w:name="_Toc26391"/>
      <w:r>
        <w:rPr>
          <w:rFonts w:hint="eastAsia" w:ascii="仿宋" w:hAnsi="仿宋" w:eastAsia="仿宋"/>
          <w:b/>
          <w:bCs/>
          <w:color w:val="000000" w:themeColor="text1"/>
          <w:kern w:val="0"/>
          <w:sz w:val="44"/>
          <w:szCs w:val="44"/>
          <w14:textFill>
            <w14:solidFill>
              <w14:schemeClr w14:val="tx1"/>
            </w14:solidFill>
          </w14:textFill>
        </w:rPr>
        <w:t>一流本科建设项目</w:t>
      </w:r>
      <w:bookmarkEnd w:id="36"/>
      <w:bookmarkEnd w:id="37"/>
    </w:p>
    <w:p>
      <w:pPr>
        <w:pStyle w:val="3"/>
        <w:spacing w:after="0" w:line="560" w:lineRule="exact"/>
        <w:ind w:firstLine="640"/>
        <w:rPr>
          <w:rFonts w:ascii="仿宋" w:hAnsi="仿宋" w:eastAsia="仿宋"/>
          <w:color w:val="000000" w:themeColor="text1"/>
          <w:kern w:val="0"/>
          <w:sz w:val="36"/>
          <w:szCs w:val="36"/>
          <w14:textFill>
            <w14:solidFill>
              <w14:schemeClr w14:val="tx1"/>
            </w14:solidFill>
          </w14:textFill>
        </w:rPr>
      </w:pPr>
      <w:bookmarkStart w:id="39" w:name="_Toc9550"/>
      <w:bookmarkStart w:id="40" w:name="_Toc86068879"/>
      <w:bookmarkStart w:id="41" w:name="_Toc49108501"/>
      <w:bookmarkStart w:id="42" w:name="_Toc26439"/>
      <w:bookmarkStart w:id="43" w:name="_Toc11400"/>
      <w:r>
        <w:rPr>
          <w:rFonts w:ascii="仿宋" w:hAnsi="仿宋" w:eastAsia="仿宋"/>
          <w:color w:val="000000" w:themeColor="text1"/>
          <w:kern w:val="0"/>
          <w:sz w:val="36"/>
          <w:szCs w:val="36"/>
          <w14:textFill>
            <w14:solidFill>
              <w14:schemeClr w14:val="tx1"/>
            </w14:solidFill>
          </w14:textFill>
        </w:rPr>
        <w:t>1.</w:t>
      </w:r>
      <w:r>
        <w:rPr>
          <w:rFonts w:hint="eastAsia" w:ascii="仿宋" w:hAnsi="仿宋" w:eastAsia="仿宋"/>
          <w:color w:val="000000" w:themeColor="text1"/>
          <w:kern w:val="0"/>
          <w:sz w:val="36"/>
          <w:szCs w:val="36"/>
          <w14:textFill>
            <w14:solidFill>
              <w14:schemeClr w14:val="tx1"/>
            </w14:solidFill>
          </w14:textFill>
        </w:rPr>
        <w:t>一流专业</w:t>
      </w:r>
      <w:bookmarkEnd w:id="39"/>
      <w:bookmarkEnd w:id="40"/>
      <w:bookmarkStart w:id="44" w:name="_Toc27262"/>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基础学科拔尖学生培养基地，博士授权高校限2项，硕士授权高校限1项；提升专业服务十大新兴产业项目和传统专业改造提升项目各高校每类项目原则上限报2项；“四新”研究与改革实践项目各高校总数不超过8项。</w:t>
      </w:r>
    </w:p>
    <w:p>
      <w:pPr>
        <w:pStyle w:val="4"/>
        <w:spacing w:before="0" w:after="0" w:line="560" w:lineRule="exact"/>
        <w:ind w:firstLine="723" w:firstLineChars="200"/>
        <w:rPr>
          <w:rFonts w:ascii="仿宋" w:hAnsi="仿宋" w:eastAsia="仿宋"/>
          <w:sz w:val="36"/>
          <w:szCs w:val="36"/>
        </w:rPr>
      </w:pPr>
      <w:bookmarkStart w:id="45" w:name="_Toc86068880"/>
      <w:r>
        <w:rPr>
          <w:rFonts w:ascii="仿宋" w:hAnsi="仿宋" w:eastAsia="仿宋"/>
          <w:sz w:val="36"/>
          <w:szCs w:val="36"/>
        </w:rPr>
        <w:t>1-1</w:t>
      </w:r>
      <w:r>
        <w:rPr>
          <w:rFonts w:hint="eastAsia" w:ascii="仿宋" w:hAnsi="仿宋" w:eastAsia="仿宋"/>
          <w:sz w:val="36"/>
          <w:szCs w:val="36"/>
        </w:rPr>
        <w:t>一流本科专业</w:t>
      </w:r>
      <w:bookmarkEnd w:id="41"/>
      <w:bookmarkEnd w:id="42"/>
      <w:bookmarkEnd w:id="43"/>
      <w:bookmarkEnd w:id="44"/>
      <w:bookmarkEnd w:id="45"/>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46" w:name="_Toc19007"/>
      <w:bookmarkStart w:id="47" w:name="_Hlk83651393"/>
      <w:r>
        <w:rPr>
          <w:rFonts w:hint="eastAsia" w:ascii="仿宋" w:hAnsi="仿宋" w:eastAsia="仿宋"/>
          <w:color w:val="000000" w:themeColor="text1"/>
          <w:kern w:val="0"/>
          <w:szCs w:val="36"/>
          <w14:textFill>
            <w14:solidFill>
              <w14:schemeClr w14:val="tx1"/>
            </w14:solidFill>
          </w14:textFill>
        </w:rPr>
        <w:t>根据教育部2021年度一流专业“双万计划”安排，获省级推荐申报国家级一流本科专业建设点、但未获批的专业，已被认定为2021年度省级一流本科专业建设点，本次不再组织申报。</w:t>
      </w:r>
    </w:p>
    <w:p>
      <w:pPr>
        <w:pStyle w:val="4"/>
        <w:spacing w:before="435" w:beforeLines="100" w:after="0" w:line="560" w:lineRule="exact"/>
        <w:ind w:firstLine="723" w:firstLineChars="200"/>
        <w:rPr>
          <w:rFonts w:ascii="仿宋" w:hAnsi="仿宋" w:eastAsia="仿宋"/>
          <w:sz w:val="36"/>
          <w:szCs w:val="36"/>
        </w:rPr>
      </w:pPr>
      <w:bookmarkStart w:id="48" w:name="_Toc86068881"/>
      <w:r>
        <w:rPr>
          <w:rFonts w:ascii="仿宋" w:hAnsi="仿宋" w:eastAsia="仿宋"/>
          <w:sz w:val="36"/>
          <w:szCs w:val="36"/>
        </w:rPr>
        <w:t>1-2</w:t>
      </w:r>
      <w:r>
        <w:rPr>
          <w:rFonts w:hint="eastAsia" w:ascii="仿宋" w:hAnsi="仿宋" w:eastAsia="仿宋"/>
          <w:sz w:val="36"/>
          <w:szCs w:val="36"/>
        </w:rPr>
        <w:t>基础学科拔尖学生培养基地</w:t>
      </w:r>
      <w:bookmarkEnd w:id="46"/>
      <w:bookmarkEnd w:id="47"/>
      <w:bookmarkEnd w:id="48"/>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49" w:name="_Toc7361"/>
      <w:bookmarkStart w:id="50" w:name="_Toc8935"/>
      <w:bookmarkStart w:id="51" w:name="_Toc17377"/>
      <w:bookmarkStart w:id="52" w:name="_Toc2439"/>
      <w:bookmarkStart w:id="53" w:name="_Toc13699"/>
      <w:r>
        <w:rPr>
          <w:rFonts w:hint="eastAsia" w:ascii="仿宋" w:hAnsi="仿宋" w:eastAsia="仿宋"/>
          <w:b/>
          <w:color w:val="000000" w:themeColor="text1"/>
          <w:kern w:val="0"/>
          <w:szCs w:val="36"/>
          <w14:textFill>
            <w14:solidFill>
              <w14:schemeClr w14:val="tx1"/>
            </w14:solidFill>
          </w14:textFill>
        </w:rPr>
        <w:t>一、建设目标</w:t>
      </w:r>
      <w:bookmarkEnd w:id="49"/>
      <w:bookmarkEnd w:id="50"/>
      <w:bookmarkEnd w:id="51"/>
      <w:bookmarkEnd w:id="52"/>
      <w:bookmarkEnd w:id="53"/>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落实《教育部等六部门关于实施基础学科拔尖学生培养计划</w:t>
      </w:r>
      <w:r>
        <w:rPr>
          <w:rFonts w:ascii="仿宋" w:hAnsi="仿宋" w:eastAsia="仿宋"/>
          <w:color w:val="000000" w:themeColor="text1"/>
          <w:kern w:val="0"/>
          <w:szCs w:val="36"/>
          <w14:textFill>
            <w14:solidFill>
              <w14:schemeClr w14:val="tx1"/>
            </w14:solidFill>
          </w14:textFill>
        </w:rPr>
        <w:t>2.0的意见》，在不同领域建设一批基础学科拔尖学生培养基地，建立健全符合不同领域基础学科拔尖学生重点培养的体制机制，引导优秀学生投身基础科学研究，形成有利于基础学科拔尖人才成长的良好氛围，实现教育理念与模式、教学内容与方法的改革创新，不断探索积累可推广的先进经验与优秀案例，初步形成</w:t>
      </w:r>
      <w:r>
        <w:rPr>
          <w:rFonts w:hint="eastAsia" w:ascii="仿宋" w:hAnsi="仿宋" w:eastAsia="仿宋"/>
          <w:color w:val="000000" w:themeColor="text1"/>
          <w:kern w:val="0"/>
          <w:szCs w:val="36"/>
          <w14:textFill>
            <w14:solidFill>
              <w14:schemeClr w14:val="tx1"/>
            </w14:solidFill>
          </w14:textFill>
        </w:rPr>
        <w:t>围绕我省经济和社会发展，服务我省“十大新兴产业”的基础学科拔尖人才培养体系，促进一批勇攀科学高峰、推动科学文化发展的优秀拔尖人才崭露头角。</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54" w:name="_Toc10205"/>
      <w:bookmarkStart w:id="55" w:name="_Toc30007"/>
      <w:bookmarkStart w:id="56" w:name="_Toc13481"/>
      <w:bookmarkStart w:id="57" w:name="_Toc26211"/>
      <w:bookmarkStart w:id="58" w:name="_Toc5039"/>
      <w:r>
        <w:rPr>
          <w:rFonts w:hint="eastAsia" w:ascii="仿宋" w:hAnsi="仿宋" w:eastAsia="仿宋"/>
          <w:b/>
          <w:color w:val="000000" w:themeColor="text1"/>
          <w:kern w:val="0"/>
          <w:szCs w:val="36"/>
          <w14:textFill>
            <w14:solidFill>
              <w14:schemeClr w14:val="tx1"/>
            </w14:solidFill>
          </w14:textFill>
        </w:rPr>
        <w:t>二、建设</w:t>
      </w:r>
      <w:bookmarkEnd w:id="54"/>
      <w:bookmarkEnd w:id="55"/>
      <w:bookmarkEnd w:id="56"/>
      <w:bookmarkEnd w:id="57"/>
      <w:bookmarkEnd w:id="58"/>
      <w:r>
        <w:rPr>
          <w:rFonts w:hint="eastAsia" w:ascii="仿宋" w:hAnsi="仿宋" w:eastAsia="仿宋"/>
          <w:b/>
          <w:color w:val="000000" w:themeColor="text1"/>
          <w:kern w:val="0"/>
          <w:szCs w:val="36"/>
          <w14:textFill>
            <w14:solidFill>
              <w14:schemeClr w14:val="tx1"/>
            </w14:solidFill>
          </w14:textFill>
        </w:rPr>
        <w:t>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高校要给予基础学科拔尖学生培养基地充分自主权、配套特殊政策和充足财物保障。基础学科拔尖学生培养基地既可以是高校已经成立以培养拔尖创新人才为重点的试点学院或内设机构，并坚持继续完善；也可以是高校学科优势突出、教学质量高的二级学院或单位的新设机构；还可以是高校根据承担教育教学、科研任务的需要，组建的跨学科人才培养基地或其他教学实体。基础学科拔尖学生培养基地要坚持学生中心、持续改进的理念，加大拔尖创新人才培养的改革创新力度。</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科学选才。强化自主招生，创新遴选方式和评价标准，加强对各类“偏才”、“怪才”等学生的全面考察，真正发现志向远大、学术潜力大、综合能力强、心理素质好的优秀学生。不断完善科学化、多阶段的动态进出机制，对进入基地的学生进行综合考查、合理引导、科学分流。</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精心育才。加强思想政治教育和素质教育，培育爱国主义、科学道德、批判精神和创新精神等，使学生明大德、守公德、严私德。加强学科交叉融合，促进中西融汇、古今贯通、文理渗透。坚持因材施教，突出领域特色和学生特点，定制人才培养方案，灵活教学组织方式，重组教学内容和教学方法。完善学业、科研和生活导师制，给予学生全流程、全方位指导帮助。汇聚全球优质资源，促进学生与国内外学术大师深度接触合作，拓展学生的国际视野和跨文化理解沟通能力。</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厚植土壤。探索新时代书院制，汇古、今、中、外于一处，融浸、养、熏、育为一体，化学问探究和人格养成于一身。探索特色化管理运行机制，实现教授、专家治理与专业管理团队的有机结合，实现教学管理灵活高效，实现与校内外相关机构的顺畅对接。探索完善评价体系，促进各类教师潜心育人，助力各类学生健康成长、成才。</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59" w:name="_Toc10800"/>
      <w:bookmarkStart w:id="60" w:name="_Toc7366"/>
      <w:bookmarkStart w:id="61" w:name="_Toc21602"/>
      <w:bookmarkStart w:id="62" w:name="_Toc347"/>
      <w:bookmarkStart w:id="63" w:name="_Toc30436"/>
      <w:r>
        <w:rPr>
          <w:rFonts w:hint="eastAsia" w:ascii="仿宋" w:hAnsi="仿宋" w:eastAsia="仿宋"/>
          <w:b/>
          <w:color w:val="000000" w:themeColor="text1"/>
          <w:kern w:val="0"/>
          <w:szCs w:val="36"/>
          <w14:textFill>
            <w14:solidFill>
              <w14:schemeClr w14:val="tx1"/>
            </w14:solidFill>
          </w14:textFill>
        </w:rPr>
        <w:t>三、申报</w:t>
      </w:r>
      <w:bookmarkEnd w:id="59"/>
      <w:bookmarkEnd w:id="60"/>
      <w:bookmarkEnd w:id="61"/>
      <w:bookmarkEnd w:id="62"/>
      <w:bookmarkEnd w:id="63"/>
      <w:r>
        <w:rPr>
          <w:rFonts w:hint="eastAsia" w:ascii="仿宋" w:hAnsi="仿宋" w:eastAsia="仿宋"/>
          <w:b/>
          <w:color w:val="000000" w:themeColor="text1"/>
          <w:kern w:val="0"/>
          <w:szCs w:val="36"/>
          <w14:textFill>
            <w14:solidFill>
              <w14:schemeClr w14:val="tx1"/>
            </w14:solidFill>
          </w14:textFill>
        </w:rPr>
        <w:t>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基地实施范围包括数学、物理学、化学、生物科学、计算机科学、天文学、地理科学、大气科学、海洋科学、地球物理学、地质学、心理学、基础医学、哲学、经济学、中国语言文学、历史学等。</w:t>
      </w:r>
      <w:bookmarkStart w:id="64" w:name="_Hlk83651333"/>
    </w:p>
    <w:bookmarkEnd w:id="64"/>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2.目标 “</w:t>
      </w:r>
      <w:r>
        <w:rPr>
          <w:rFonts w:hint="eastAsia" w:ascii="仿宋" w:hAnsi="仿宋" w:eastAsia="仿宋"/>
          <w:color w:val="000000" w:themeColor="text1"/>
          <w:kern w:val="0"/>
          <w:szCs w:val="36"/>
          <w14:textFill>
            <w14:solidFill>
              <w14:schemeClr w14:val="tx1"/>
            </w14:solidFill>
          </w14:textFill>
        </w:rPr>
        <w:t>高”</w:t>
      </w:r>
      <w:r>
        <w:rPr>
          <w:rFonts w:ascii="仿宋" w:hAnsi="仿宋" w:eastAsia="仿宋"/>
          <w:color w:val="000000" w:themeColor="text1"/>
          <w:kern w:val="0"/>
          <w:szCs w:val="36"/>
          <w14:textFill>
            <w14:solidFill>
              <w14:schemeClr w14:val="tx1"/>
            </w14:solidFill>
          </w14:textFill>
        </w:rPr>
        <w:t>，致力于培养未来世界领跑者。基地育人目标符合拔尖计划2.0的定位，致力于培养具有家国情怀、人文情怀、世界胸怀，能够勇攀世界科学高峰、引领人类文明进步的自然科学家、社会科学家、医学科学家。</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3. 基础“实”，人才培养改革成效显著。申报高校能把握人才培养改革方向，在课程建设、教学方法、学生考核方式等方面开展改革并取得积极成效。已开展拔尖学生培养的前期探索，申报基地涉及的专业领域教学改革成效显著。</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4.模式</w:t>
      </w:r>
      <w:r>
        <w:rPr>
          <w:rFonts w:hint="eastAsia" w:ascii="仿宋" w:hAnsi="仿宋" w:eastAsia="仿宋"/>
          <w:color w:val="000000" w:themeColor="text1"/>
          <w:kern w:val="0"/>
          <w:szCs w:val="36"/>
          <w14:textFill>
            <w14:solidFill>
              <w14:schemeClr w14:val="tx1"/>
            </w14:solidFill>
          </w14:textFill>
        </w:rPr>
        <w:t>“新”</w:t>
      </w:r>
      <w:r>
        <w:rPr>
          <w:rFonts w:ascii="仿宋" w:hAnsi="仿宋" w:eastAsia="仿宋"/>
          <w:color w:val="000000" w:themeColor="text1"/>
          <w:kern w:val="0"/>
          <w:szCs w:val="36"/>
          <w14:textFill>
            <w14:solidFill>
              <w14:schemeClr w14:val="tx1"/>
            </w14:solidFill>
          </w14:textFill>
        </w:rPr>
        <w:t>，厚植英才成长土壤。生源整体质量高，能够建立科学化、多阶段的动态进出机制。深入探索书院制、导师制、学分制</w:t>
      </w:r>
      <w:r>
        <w:rPr>
          <w:rFonts w:hint="eastAsia" w:ascii="仿宋" w:hAnsi="仿宋" w:eastAsia="仿宋"/>
          <w:color w:val="000000" w:themeColor="text1"/>
          <w:kern w:val="0"/>
          <w:szCs w:val="36"/>
          <w14:textFill>
            <w14:solidFill>
              <w14:schemeClr w14:val="tx1"/>
            </w14:solidFill>
          </w14:textFill>
        </w:rPr>
        <w:t>“三制”</w:t>
      </w:r>
      <w:r>
        <w:rPr>
          <w:rFonts w:ascii="仿宋" w:hAnsi="仿宋" w:eastAsia="仿宋"/>
          <w:color w:val="000000" w:themeColor="text1"/>
          <w:kern w:val="0"/>
          <w:szCs w:val="36"/>
          <w14:textFill>
            <w14:solidFill>
              <w14:schemeClr w14:val="tx1"/>
            </w14:solidFill>
          </w14:textFill>
        </w:rPr>
        <w:t>交叉融通的创新育人模式。探索中西贯通的现代书院制，注重“浸润”“熏陶”“养成”“感染”“培育”；探索导师制，吸引理念新、能力强、肯投入的优秀教师集群参与计划；探索学分制，以学分积累作为学生毕业标准，为优秀学生早成才、快成才提供制度安排。</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5.保障</w:t>
      </w:r>
      <w:r>
        <w:rPr>
          <w:rFonts w:hint="eastAsia" w:ascii="仿宋" w:hAnsi="仿宋" w:eastAsia="仿宋"/>
          <w:color w:val="000000" w:themeColor="text1"/>
          <w:kern w:val="0"/>
          <w:szCs w:val="36"/>
          <w14:textFill>
            <w14:solidFill>
              <w14:schemeClr w14:val="tx1"/>
            </w14:solidFill>
          </w14:textFill>
        </w:rPr>
        <w:t>“优”</w:t>
      </w:r>
      <w:r>
        <w:rPr>
          <w:rFonts w:ascii="仿宋" w:hAnsi="仿宋" w:eastAsia="仿宋"/>
          <w:color w:val="000000" w:themeColor="text1"/>
          <w:kern w:val="0"/>
          <w:szCs w:val="36"/>
          <w14:textFill>
            <w14:solidFill>
              <w14:schemeClr w14:val="tx1"/>
            </w14:solidFill>
          </w14:textFill>
        </w:rPr>
        <w:t>，打造英才培养绿色通道。申报高校成立由校长任组长的领导小组、由知名学者和教学名师组成的专家委员会、由相关职能部门组成的工作小组，为计划实施提供组织支持。能够以人才培养为中心推进制度创新，建立拔尖人才培养的质量监测与持续改进机制。能够统筹各类资源支持拔尖人才培养。</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w:t>
      </w:r>
      <w:r>
        <w:rPr>
          <w:rFonts w:hint="eastAsia" w:ascii="仿宋" w:hAnsi="仿宋" w:eastAsia="仿宋"/>
          <w:color w:val="000000" w:themeColor="text1"/>
          <w:kern w:val="0"/>
          <w:szCs w:val="36"/>
          <w14:textFill>
            <w14:solidFill>
              <w14:schemeClr w14:val="tx1"/>
            </w14:solidFill>
          </w14:textFill>
        </w:rPr>
        <w:t>基础学科拔尖学生培养基地获批建设后，每个基地每年的招生人数原则上不超过</w:t>
      </w:r>
      <w:r>
        <w:rPr>
          <w:rFonts w:ascii="仿宋" w:hAnsi="仿宋" w:eastAsia="仿宋"/>
          <w:color w:val="000000" w:themeColor="text1"/>
          <w:kern w:val="0"/>
          <w:szCs w:val="36"/>
          <w14:textFill>
            <w14:solidFill>
              <w14:schemeClr w14:val="tx1"/>
            </w14:solidFill>
          </w14:textFill>
        </w:rPr>
        <w:t>20人。</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7</w:t>
      </w:r>
      <w:r>
        <w:rPr>
          <w:rFonts w:ascii="仿宋" w:hAnsi="仿宋" w:eastAsia="仿宋"/>
          <w:color w:val="000000" w:themeColor="text1"/>
          <w:kern w:val="0"/>
          <w:szCs w:val="36"/>
          <w14:textFill>
            <w14:solidFill>
              <w14:schemeClr w14:val="tx1"/>
            </w14:solidFill>
          </w14:textFill>
        </w:rPr>
        <w:t>.</w:t>
      </w:r>
      <w:r>
        <w:rPr>
          <w:rFonts w:hint="eastAsia" w:ascii="仿宋" w:hAnsi="仿宋" w:eastAsia="仿宋"/>
          <w:color w:val="000000" w:themeColor="text1"/>
          <w:kern w:val="0"/>
          <w:szCs w:val="36"/>
          <w14:textFill>
            <w14:solidFill>
              <w14:schemeClr w14:val="tx1"/>
            </w14:solidFill>
          </w14:textFill>
        </w:rPr>
        <w:t>基础学科拔尖学生培养基地，博士授权高校限2项，硕士授权高校限1项。</w:t>
      </w:r>
    </w:p>
    <w:p>
      <w:pPr>
        <w:pStyle w:val="4"/>
        <w:spacing w:before="435" w:beforeLines="100" w:after="0" w:line="560" w:lineRule="exact"/>
        <w:ind w:firstLine="723" w:firstLineChars="200"/>
        <w:rPr>
          <w:rFonts w:ascii="仿宋" w:hAnsi="仿宋" w:eastAsia="仿宋"/>
          <w:sz w:val="36"/>
          <w:szCs w:val="36"/>
        </w:rPr>
      </w:pPr>
      <w:bookmarkStart w:id="65" w:name="_Toc86068882"/>
      <w:bookmarkStart w:id="66" w:name="_Toc10901"/>
      <w:r>
        <w:rPr>
          <w:rFonts w:ascii="仿宋" w:hAnsi="仿宋" w:eastAsia="仿宋"/>
          <w:sz w:val="36"/>
          <w:szCs w:val="36"/>
        </w:rPr>
        <w:t>1-3</w:t>
      </w:r>
      <w:r>
        <w:rPr>
          <w:rFonts w:hint="eastAsia" w:ascii="仿宋" w:hAnsi="仿宋" w:eastAsia="仿宋"/>
          <w:sz w:val="36"/>
          <w:szCs w:val="36"/>
        </w:rPr>
        <w:t>提升专业服务十大新兴产业项目</w:t>
      </w:r>
      <w:bookmarkEnd w:id="65"/>
      <w:bookmarkEnd w:id="66"/>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67" w:name="_Toc9677"/>
      <w:bookmarkStart w:id="68" w:name="_Toc1522"/>
      <w:bookmarkStart w:id="69" w:name="_Toc26498"/>
      <w:bookmarkStart w:id="70" w:name="_Toc27408"/>
      <w:bookmarkStart w:id="71" w:name="_Toc4244"/>
      <w:r>
        <w:rPr>
          <w:rFonts w:hint="eastAsia" w:ascii="仿宋" w:hAnsi="仿宋" w:eastAsia="仿宋"/>
          <w:b/>
          <w:color w:val="000000" w:themeColor="text1"/>
          <w:kern w:val="0"/>
          <w:szCs w:val="36"/>
          <w14:textFill>
            <w14:solidFill>
              <w14:schemeClr w14:val="tx1"/>
            </w14:solidFill>
          </w14:textFill>
        </w:rPr>
        <w:t>一、建设目标</w:t>
      </w:r>
      <w:bookmarkEnd w:id="67"/>
      <w:bookmarkEnd w:id="68"/>
      <w:bookmarkEnd w:id="69"/>
      <w:bookmarkEnd w:id="70"/>
      <w:bookmarkEnd w:id="71"/>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聚焦服务支撑我省科技创新策源地、新兴产业聚集地、改革开放新高地和经济社会发展全面绿色转型区建设（“三地一区”建设）重大使命，以区域产业发展急需为牵引，面向行业特色鲜明、与产业联系紧密的高校，重点是应用型高校，建设一批服务十大新兴产业项目。在此基础上，引导高校瞄准与地方经济社会发展的结合点，不断优化专业结构、增强办学活力，探索产业链、创新链、教育链有效衔接机制，建立新型信息、人才、技术与物质资源共享机制，完善产教融合协同育人机制，创新企业兼职教师评聘机制，构建高等教育与产业集群联动发展机制，打造一批融人才培养、科学研究、技术创新、企业服务、学生创业等功能于一体的示范性人才培养实体，为应用型高校建设提供可复制、可推广的新模式。</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72" w:name="_Toc3398"/>
      <w:bookmarkStart w:id="73" w:name="_Toc23178"/>
      <w:bookmarkStart w:id="74" w:name="_Toc31016"/>
      <w:bookmarkStart w:id="75" w:name="_Toc7097"/>
      <w:bookmarkStart w:id="76" w:name="_Toc2383"/>
      <w:r>
        <w:rPr>
          <w:rFonts w:hint="eastAsia" w:ascii="仿宋" w:hAnsi="仿宋" w:eastAsia="仿宋"/>
          <w:b/>
          <w:color w:val="000000" w:themeColor="text1"/>
          <w:kern w:val="0"/>
          <w:szCs w:val="36"/>
          <w14:textFill>
            <w14:solidFill>
              <w14:schemeClr w14:val="tx1"/>
            </w14:solidFill>
          </w14:textFill>
        </w:rPr>
        <w:t>二、建设</w:t>
      </w:r>
      <w:bookmarkEnd w:id="72"/>
      <w:bookmarkEnd w:id="73"/>
      <w:bookmarkEnd w:id="74"/>
      <w:bookmarkEnd w:id="75"/>
      <w:bookmarkEnd w:id="76"/>
      <w:r>
        <w:rPr>
          <w:rFonts w:hint="eastAsia" w:ascii="仿宋" w:hAnsi="仿宋" w:eastAsia="仿宋"/>
          <w:b/>
          <w:color w:val="000000" w:themeColor="text1"/>
          <w:kern w:val="0"/>
          <w:szCs w:val="36"/>
          <w14:textFill>
            <w14:solidFill>
              <w14:schemeClr w14:val="tx1"/>
            </w14:solidFill>
          </w14:textFill>
        </w:rPr>
        <w:t>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77" w:name="_Toc21560"/>
      <w:bookmarkStart w:id="78" w:name="_Toc16"/>
      <w:bookmarkStart w:id="79" w:name="_Toc21798"/>
      <w:bookmarkStart w:id="80" w:name="_Toc19185"/>
      <w:bookmarkStart w:id="81" w:name="_Toc8317"/>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创新人才培养模式</w:t>
      </w:r>
      <w:bookmarkEnd w:id="77"/>
      <w:bookmarkEnd w:id="78"/>
      <w:bookmarkEnd w:id="79"/>
      <w:bookmarkEnd w:id="80"/>
      <w:bookmarkEnd w:id="81"/>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凝练产教深度融合、多方协同育人的应用型人才培养模式。</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82" w:name="_Toc27896"/>
      <w:bookmarkStart w:id="83" w:name="_Toc32363"/>
      <w:bookmarkStart w:id="84" w:name="_Toc11437"/>
      <w:bookmarkStart w:id="85" w:name="_Toc7911"/>
      <w:bookmarkStart w:id="86" w:name="_Toc22707"/>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提升专业建设质量</w:t>
      </w:r>
      <w:bookmarkEnd w:id="82"/>
      <w:bookmarkEnd w:id="83"/>
      <w:bookmarkEnd w:id="84"/>
      <w:bookmarkEnd w:id="85"/>
      <w:bookmarkEnd w:id="86"/>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87" w:name="_Toc31916"/>
      <w:bookmarkStart w:id="88" w:name="_Toc6959"/>
      <w:bookmarkStart w:id="89" w:name="_Toc24662"/>
      <w:bookmarkStart w:id="90" w:name="_Toc19288"/>
      <w:bookmarkStart w:id="91" w:name="_Toc6599"/>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开发校企合作课程</w:t>
      </w:r>
      <w:bookmarkEnd w:id="87"/>
      <w:bookmarkEnd w:id="88"/>
      <w:bookmarkEnd w:id="89"/>
      <w:bookmarkEnd w:id="90"/>
      <w:bookmarkEnd w:id="91"/>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92" w:name="_Toc14450"/>
      <w:bookmarkStart w:id="93" w:name="_Toc5311"/>
      <w:bookmarkStart w:id="94" w:name="_Toc9649"/>
      <w:bookmarkStart w:id="95" w:name="_Toc8643"/>
      <w:bookmarkStart w:id="96" w:name="_Toc18675"/>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打造实习实训基地</w:t>
      </w:r>
      <w:bookmarkEnd w:id="92"/>
      <w:bookmarkEnd w:id="93"/>
      <w:bookmarkEnd w:id="94"/>
      <w:bookmarkEnd w:id="95"/>
      <w:bookmarkEnd w:id="96"/>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基于行业企业的产品、技术和生产流程，创新多主体间的合作模式，构建基于产业发展和创新需求的实践教学和实训实习环境。统筹各类实践教学资源，充分利用科技产业园、行业龙头企业等优质资源，构建功能集约、开放共享、高效运行的专业类或跨专业类实践教学平台。通过引进企业研发平台、生产基地，建设一批兼具生产、教学、研发、创新创业功能的校企一体、产学研用协同的大型实验、实训实习基地。</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97" w:name="_Toc3619"/>
      <w:bookmarkStart w:id="98" w:name="_Toc17165"/>
      <w:bookmarkStart w:id="99" w:name="_Toc25493"/>
      <w:bookmarkStart w:id="100" w:name="_Toc3631"/>
      <w:bookmarkStart w:id="101" w:name="_Toc13263"/>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建设高水平教师队伍</w:t>
      </w:r>
      <w:bookmarkEnd w:id="97"/>
      <w:bookmarkEnd w:id="98"/>
      <w:bookmarkEnd w:id="99"/>
      <w:bookmarkEnd w:id="100"/>
      <w:bookmarkEnd w:id="101"/>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探索校企人才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建设成“双师双能型”教师培养培训基地。开展校企导师联合授课、联合指导，推进教师激励制度探索，打造高水平教学团队。</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102" w:name="_Toc29822"/>
      <w:bookmarkStart w:id="103" w:name="_Toc12635"/>
      <w:bookmarkStart w:id="104" w:name="_Toc7801"/>
      <w:bookmarkStart w:id="105" w:name="_Toc709"/>
      <w:bookmarkStart w:id="106" w:name="_Toc21781"/>
      <w:r>
        <w:rPr>
          <w:rFonts w:ascii="仿宋" w:hAnsi="仿宋" w:eastAsia="仿宋"/>
          <w:color w:val="000000" w:themeColor="text1"/>
          <w:kern w:val="0"/>
          <w:szCs w:val="36"/>
          <w14:textFill>
            <w14:solidFill>
              <w14:schemeClr w14:val="tx1"/>
            </w14:solidFill>
          </w14:textFill>
        </w:rPr>
        <w:t>6.</w:t>
      </w:r>
      <w:r>
        <w:rPr>
          <w:rFonts w:hint="eastAsia" w:ascii="仿宋" w:hAnsi="仿宋" w:eastAsia="仿宋"/>
          <w:color w:val="000000" w:themeColor="text1"/>
          <w:kern w:val="0"/>
          <w:szCs w:val="36"/>
          <w14:textFill>
            <w14:solidFill>
              <w14:schemeClr w14:val="tx1"/>
            </w14:solidFill>
          </w14:textFill>
        </w:rPr>
        <w:t>搭建产学研服务平台</w:t>
      </w:r>
      <w:bookmarkEnd w:id="102"/>
      <w:bookmarkEnd w:id="103"/>
      <w:bookmarkEnd w:id="104"/>
      <w:bookmarkEnd w:id="105"/>
      <w:bookmarkEnd w:id="106"/>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107" w:name="_Toc7382"/>
      <w:bookmarkStart w:id="108" w:name="_Toc14771"/>
      <w:bookmarkStart w:id="109" w:name="_Toc948"/>
      <w:bookmarkStart w:id="110" w:name="_Toc2893"/>
      <w:bookmarkStart w:id="111" w:name="_Toc30434"/>
      <w:r>
        <w:rPr>
          <w:rFonts w:ascii="仿宋" w:hAnsi="仿宋" w:eastAsia="仿宋"/>
          <w:color w:val="000000" w:themeColor="text1"/>
          <w:kern w:val="0"/>
          <w:szCs w:val="36"/>
          <w14:textFill>
            <w14:solidFill>
              <w14:schemeClr w14:val="tx1"/>
            </w14:solidFill>
          </w14:textFill>
        </w:rPr>
        <w:t>7.</w:t>
      </w:r>
      <w:r>
        <w:rPr>
          <w:rFonts w:hint="eastAsia" w:ascii="仿宋" w:hAnsi="仿宋" w:eastAsia="仿宋"/>
          <w:color w:val="000000" w:themeColor="text1"/>
          <w:kern w:val="0"/>
          <w:szCs w:val="36"/>
          <w14:textFill>
            <w14:solidFill>
              <w14:schemeClr w14:val="tx1"/>
            </w14:solidFill>
          </w14:textFill>
        </w:rPr>
        <w:t>完善管理体制机制</w:t>
      </w:r>
      <w:bookmarkEnd w:id="107"/>
      <w:bookmarkEnd w:id="108"/>
      <w:bookmarkEnd w:id="109"/>
      <w:bookmarkEnd w:id="110"/>
      <w:bookmarkEnd w:id="111"/>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强化高校、地方政府、行业协会、企业机构等多元主体协同，形成共建共管的组织架构，探索理事会、管委会等治理模式，赋予改革所需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12" w:name="_Toc25837"/>
      <w:bookmarkStart w:id="113" w:name="_Toc29605"/>
      <w:bookmarkStart w:id="114" w:name="_Toc3459"/>
      <w:bookmarkStart w:id="115" w:name="_Toc22806"/>
      <w:bookmarkStart w:id="116" w:name="_Toc383"/>
      <w:r>
        <w:rPr>
          <w:rFonts w:hint="eastAsia" w:ascii="仿宋" w:hAnsi="仿宋" w:eastAsia="仿宋"/>
          <w:b/>
          <w:color w:val="000000" w:themeColor="text1"/>
          <w:kern w:val="0"/>
          <w:szCs w:val="36"/>
          <w14:textFill>
            <w14:solidFill>
              <w14:schemeClr w14:val="tx1"/>
            </w14:solidFill>
          </w14:textFill>
        </w:rPr>
        <w:t>三、申报</w:t>
      </w:r>
      <w:bookmarkEnd w:id="112"/>
      <w:bookmarkEnd w:id="113"/>
      <w:bookmarkEnd w:id="114"/>
      <w:bookmarkEnd w:id="115"/>
      <w:bookmarkEnd w:id="116"/>
      <w:r>
        <w:rPr>
          <w:rFonts w:hint="eastAsia" w:ascii="仿宋" w:hAnsi="仿宋" w:eastAsia="仿宋"/>
          <w:b/>
          <w:color w:val="000000" w:themeColor="text1"/>
          <w:kern w:val="0"/>
          <w:szCs w:val="36"/>
          <w14:textFill>
            <w14:solidFill>
              <w14:schemeClr w14:val="tx1"/>
            </w14:solidFill>
          </w14:textFill>
        </w:rPr>
        <w:t>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117" w:name="_Toc21965"/>
      <w:bookmarkStart w:id="118" w:name="_Toc28456"/>
      <w:bookmarkStart w:id="119" w:name="_Toc2834"/>
      <w:bookmarkStart w:id="120" w:name="_Toc4612"/>
      <w:bookmarkStart w:id="121" w:name="_Toc24471"/>
      <w:r>
        <w:rPr>
          <w:rFonts w:ascii="仿宋" w:hAnsi="仿宋" w:eastAsia="仿宋"/>
          <w:color w:val="000000" w:themeColor="text1"/>
          <w:kern w:val="0"/>
          <w:szCs w:val="36"/>
          <w14:textFill>
            <w14:solidFill>
              <w14:schemeClr w14:val="tx1"/>
            </w14:solidFill>
          </w14:textFill>
        </w:rPr>
        <w:t>1.</w:t>
      </w:r>
      <w:bookmarkEnd w:id="117"/>
      <w:bookmarkEnd w:id="118"/>
      <w:bookmarkEnd w:id="119"/>
      <w:bookmarkEnd w:id="120"/>
      <w:bookmarkEnd w:id="121"/>
      <w:r>
        <w:rPr>
          <w:rFonts w:ascii="仿宋" w:hAnsi="仿宋" w:eastAsia="仿宋"/>
          <w:color w:val="000000" w:themeColor="text1"/>
          <w:kern w:val="0"/>
          <w:szCs w:val="36"/>
          <w14:textFill>
            <w14:solidFill>
              <w14:schemeClr w14:val="tx1"/>
            </w14:solidFill>
          </w14:textFill>
        </w:rPr>
        <w:t>人才培养主要专业与区域产业发展高度契合，相关专业已经列入“</w:t>
      </w:r>
      <w:r>
        <w:rPr>
          <w:rFonts w:hint="eastAsia" w:ascii="仿宋" w:hAnsi="仿宋" w:eastAsia="仿宋"/>
          <w:color w:val="000000" w:themeColor="text1"/>
          <w:kern w:val="0"/>
          <w:szCs w:val="36"/>
          <w14:textFill>
            <w14:solidFill>
              <w14:schemeClr w14:val="tx1"/>
            </w14:solidFill>
          </w14:textFill>
        </w:rPr>
        <w:t>国家级或省级一流专业建设点</w:t>
      </w:r>
      <w:r>
        <w:rPr>
          <w:rFonts w:ascii="仿宋" w:hAnsi="仿宋" w:eastAsia="仿宋"/>
          <w:color w:val="000000" w:themeColor="text1"/>
          <w:kern w:val="0"/>
          <w:szCs w:val="36"/>
          <w14:textFill>
            <w14:solidFill>
              <w14:schemeClr w14:val="tx1"/>
            </w14:solidFill>
          </w14:textFill>
        </w:rPr>
        <w:t>”建设范围，具有相对优势</w:t>
      </w:r>
      <w:r>
        <w:rPr>
          <w:rFonts w:hint="eastAsia" w:ascii="仿宋" w:hAnsi="仿宋" w:eastAsia="仿宋"/>
          <w:color w:val="000000" w:themeColor="text1"/>
          <w:kern w:val="0"/>
          <w:szCs w:val="36"/>
          <w14:textFill>
            <w14:solidFill>
              <w14:schemeClr w14:val="tx1"/>
            </w14:solidFill>
          </w14:textFill>
        </w:rPr>
        <w:t>。</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服务新一代信息技术、人工智能、新材料、新能源和节能环保、新能源汽车和智能网联汽车、高端装备制造、智能家电、生命健康、绿色食品、数字创意等十大新兴产业；参与的企业主体参考产教融合型企业相关要求，在区域产业链条中居主要地位，或在区域产业集群中居关键地位；</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初步形成理念先进、顺畅运行的管理体系；</w:t>
      </w:r>
      <w:r>
        <w:rPr>
          <w:rFonts w:ascii="仿宋" w:hAnsi="仿宋" w:eastAsia="仿宋"/>
          <w:color w:val="000000" w:themeColor="text1"/>
          <w:kern w:val="0"/>
          <w:szCs w:val="36"/>
          <w14:textFill>
            <w14:solidFill>
              <w14:schemeClr w14:val="tx1"/>
            </w14:solidFill>
          </w14:textFill>
        </w:rPr>
        <w:t>具有相对稳定的高水平教学团队；相关企业主体参与的兼职教师人员，中、高级专业技术职务的人员数量不低于高校专职教师的数量</w:t>
      </w:r>
      <w:r>
        <w:rPr>
          <w:rFonts w:hint="eastAsia" w:ascii="仿宋" w:hAnsi="仿宋" w:eastAsia="仿宋"/>
          <w:color w:val="000000" w:themeColor="text1"/>
          <w:kern w:val="0"/>
          <w:szCs w:val="36"/>
          <w14:textFill>
            <w14:solidFill>
              <w14:schemeClr w14:val="tx1"/>
            </w14:solidFill>
          </w14:textFill>
        </w:rPr>
        <w:t>。</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4.加强产教融合，实践教学学时不低于专业人才培养方案总学时的30%；具有相对丰富的教学资源</w:t>
      </w:r>
      <w:r>
        <w:rPr>
          <w:rFonts w:hint="eastAsia" w:ascii="仿宋" w:hAnsi="仿宋" w:eastAsia="仿宋"/>
          <w:color w:val="000000" w:themeColor="text1"/>
          <w:kern w:val="0"/>
          <w:szCs w:val="36"/>
          <w14:textFill>
            <w14:solidFill>
              <w14:schemeClr w14:val="tx1"/>
            </w14:solidFill>
          </w14:textFill>
        </w:rPr>
        <w:t>。</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5.学校能够提供相对集中、面积充足的物理空间，每年提供稳定的经费支持，用于人员聘任、日常运行；学校给予发展所需政策扶持。</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6</w:t>
      </w:r>
      <w:r>
        <w:rPr>
          <w:rFonts w:ascii="仿宋" w:hAnsi="仿宋" w:eastAsia="仿宋"/>
          <w:color w:val="000000" w:themeColor="text1"/>
          <w:kern w:val="0"/>
          <w:szCs w:val="36"/>
          <w14:textFill>
            <w14:solidFill>
              <w14:schemeClr w14:val="tx1"/>
            </w14:solidFill>
          </w14:textFill>
        </w:rPr>
        <w:t>.</w:t>
      </w:r>
      <w:r>
        <w:rPr>
          <w:rFonts w:hint="eastAsia" w:ascii="仿宋" w:hAnsi="仿宋" w:eastAsia="仿宋"/>
          <w:color w:val="000000" w:themeColor="text1"/>
          <w:kern w:val="0"/>
          <w:szCs w:val="36"/>
          <w14:textFill>
            <w14:solidFill>
              <w14:schemeClr w14:val="tx1"/>
            </w14:solidFill>
          </w14:textFill>
        </w:rPr>
        <w:t>提升专业服务十大新兴产业项目各高校原则上限报2项。</w:t>
      </w:r>
    </w:p>
    <w:p>
      <w:pPr>
        <w:pStyle w:val="4"/>
        <w:spacing w:before="435" w:beforeLines="100" w:after="0" w:line="560" w:lineRule="exact"/>
        <w:ind w:firstLine="723" w:firstLineChars="200"/>
        <w:rPr>
          <w:rFonts w:ascii="仿宋" w:hAnsi="仿宋" w:eastAsia="仿宋"/>
          <w:sz w:val="36"/>
          <w:szCs w:val="36"/>
        </w:rPr>
      </w:pPr>
      <w:bookmarkStart w:id="122" w:name="_Hlk83653161"/>
      <w:bookmarkStart w:id="123" w:name="_Toc25751"/>
      <w:bookmarkStart w:id="124" w:name="_Toc86068883"/>
      <w:bookmarkStart w:id="125" w:name="_Toc147"/>
      <w:bookmarkStart w:id="126" w:name="_Toc17521"/>
      <w:bookmarkStart w:id="127" w:name="_Toc11743"/>
      <w:bookmarkStart w:id="128" w:name="_Toc20076"/>
      <w:bookmarkStart w:id="129" w:name="_Toc49108506"/>
      <w:bookmarkStart w:id="130" w:name="_Toc49108505"/>
      <w:bookmarkStart w:id="131" w:name="_Toc50"/>
      <w:bookmarkStart w:id="132" w:name="_Toc31327"/>
      <w:r>
        <w:rPr>
          <w:rFonts w:ascii="仿宋" w:hAnsi="仿宋" w:eastAsia="仿宋"/>
          <w:sz w:val="36"/>
          <w:szCs w:val="36"/>
        </w:rPr>
        <w:t>1-4</w:t>
      </w:r>
      <w:r>
        <w:rPr>
          <w:rFonts w:hint="eastAsia" w:ascii="仿宋" w:hAnsi="仿宋" w:eastAsia="仿宋"/>
          <w:sz w:val="36"/>
          <w:szCs w:val="36"/>
        </w:rPr>
        <w:t>“四新”研究与改革实践项目</w:t>
      </w:r>
      <w:bookmarkEnd w:id="122"/>
      <w:bookmarkEnd w:id="123"/>
      <w:bookmarkEnd w:id="124"/>
      <w:bookmarkEnd w:id="125"/>
      <w:bookmarkEnd w:id="126"/>
    </w:p>
    <w:bookmarkEnd w:id="127"/>
    <w:bookmarkEnd w:id="128"/>
    <w:bookmarkEnd w:id="129"/>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33" w:name="_Toc16058"/>
      <w:bookmarkStart w:id="134" w:name="_Toc4586"/>
      <w:r>
        <w:rPr>
          <w:rFonts w:hint="eastAsia" w:ascii="仿宋" w:hAnsi="仿宋" w:eastAsia="仿宋"/>
          <w:b/>
          <w:color w:val="000000" w:themeColor="text1"/>
          <w:kern w:val="0"/>
          <w:szCs w:val="36"/>
          <w14:textFill>
            <w14:solidFill>
              <w14:schemeClr w14:val="tx1"/>
            </w14:solidFill>
          </w14:textFill>
        </w:rPr>
        <w:t>一、建设目标</w:t>
      </w:r>
      <w:bookmarkEnd w:id="133"/>
      <w:bookmarkEnd w:id="134"/>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深入贯彻全国教育大会精神，全面落实新工科、新农科、新医科、新文科“四新”建设要求，探索基于“四新”理念的教学资源建设新路径，推进</w:t>
      </w:r>
      <w:r>
        <w:rPr>
          <w:rFonts w:ascii="仿宋" w:hAnsi="仿宋" w:eastAsia="仿宋"/>
          <w:color w:val="000000" w:themeColor="text1"/>
          <w:kern w:val="0"/>
          <w:szCs w:val="36"/>
          <w14:textFill>
            <w14:solidFill>
              <w14:schemeClr w14:val="tx1"/>
            </w14:solidFill>
          </w14:textFill>
        </w:rPr>
        <w:t xml:space="preserve"> </w:t>
      </w:r>
      <w:r>
        <w:rPr>
          <w:rFonts w:hint="eastAsia" w:ascii="仿宋" w:hAnsi="仿宋" w:eastAsia="仿宋"/>
          <w:color w:val="000000" w:themeColor="text1"/>
          <w:kern w:val="0"/>
          <w:szCs w:val="36"/>
          <w14:textFill>
            <w14:solidFill>
              <w14:schemeClr w14:val="tx1"/>
            </w14:solidFill>
          </w14:textFill>
        </w:rPr>
        <w:t>“四新”项目建设，</w:t>
      </w:r>
      <w:r>
        <w:rPr>
          <w:rFonts w:hint="eastAsia" w:ascii="仿宋" w:hAnsi="仿宋" w:eastAsia="仿宋"/>
          <w:kern w:val="0"/>
          <w:szCs w:val="36"/>
        </w:rPr>
        <w:t>创新人才培养模式，</w:t>
      </w:r>
      <w:r>
        <w:rPr>
          <w:rFonts w:hint="eastAsia" w:ascii="仿宋" w:hAnsi="仿宋" w:eastAsia="仿宋"/>
          <w:color w:val="000000" w:themeColor="text1"/>
          <w:kern w:val="0"/>
          <w:szCs w:val="36"/>
          <w14:textFill>
            <w14:solidFill>
              <w14:schemeClr w14:val="tx1"/>
            </w14:solidFill>
          </w14:textFill>
        </w:rPr>
        <w:t>构建安徽特色的“四新”人才培养体系，</w:t>
      </w:r>
      <w:r>
        <w:rPr>
          <w:rFonts w:hint="eastAsia" w:ascii="仿宋" w:hAnsi="仿宋" w:eastAsia="仿宋"/>
          <w:kern w:val="0"/>
          <w:szCs w:val="36"/>
        </w:rPr>
        <w:t>推动我省</w:t>
      </w:r>
      <w:r>
        <w:rPr>
          <w:rFonts w:hint="eastAsia" w:ascii="仿宋" w:hAnsi="仿宋" w:eastAsia="仿宋"/>
          <w:color w:val="000000" w:themeColor="text1"/>
          <w:kern w:val="0"/>
          <w:szCs w:val="36"/>
          <w14:textFill>
            <w14:solidFill>
              <w14:schemeClr w14:val="tx1"/>
            </w14:solidFill>
          </w14:textFill>
        </w:rPr>
        <w:t>高等教育</w:t>
      </w:r>
      <w:r>
        <w:rPr>
          <w:rFonts w:hint="eastAsia" w:ascii="仿宋" w:hAnsi="仿宋" w:eastAsia="仿宋"/>
          <w:kern w:val="0"/>
          <w:szCs w:val="36"/>
        </w:rPr>
        <w:t>高</w:t>
      </w:r>
      <w:r>
        <w:rPr>
          <w:rFonts w:hint="eastAsia" w:ascii="仿宋" w:hAnsi="仿宋" w:eastAsia="仿宋"/>
          <w:color w:val="000000" w:themeColor="text1"/>
          <w:kern w:val="0"/>
          <w:szCs w:val="36"/>
          <w14:textFill>
            <w14:solidFill>
              <w14:schemeClr w14:val="tx1"/>
            </w14:solidFill>
          </w14:textFill>
        </w:rPr>
        <w:t>质量</w:t>
      </w:r>
      <w:r>
        <w:rPr>
          <w:rFonts w:hint="eastAsia" w:ascii="仿宋" w:hAnsi="仿宋" w:eastAsia="仿宋"/>
          <w:kern w:val="0"/>
          <w:szCs w:val="36"/>
        </w:rPr>
        <w:t>发展</w:t>
      </w:r>
      <w:r>
        <w:rPr>
          <w:rFonts w:hint="eastAsia" w:ascii="仿宋" w:hAnsi="仿宋" w:eastAsia="仿宋"/>
          <w:color w:val="000000" w:themeColor="text1"/>
          <w:kern w:val="0"/>
          <w:szCs w:val="36"/>
          <w14:textFill>
            <w14:solidFill>
              <w14:schemeClr w14:val="tx1"/>
            </w14:solidFill>
          </w14:textFill>
        </w:rPr>
        <w:t>。</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35" w:name="_Toc4114"/>
      <w:bookmarkStart w:id="136" w:name="_Toc27979"/>
      <w:r>
        <w:rPr>
          <w:rFonts w:hint="eastAsia" w:ascii="仿宋" w:hAnsi="仿宋" w:eastAsia="仿宋"/>
          <w:b/>
          <w:color w:val="000000" w:themeColor="text1"/>
          <w:kern w:val="0"/>
          <w:szCs w:val="36"/>
          <w14:textFill>
            <w14:solidFill>
              <w14:schemeClr w14:val="tx1"/>
            </w14:solidFill>
          </w14:textFill>
        </w:rPr>
        <w:t>二、建设</w:t>
      </w:r>
      <w:bookmarkEnd w:id="135"/>
      <w:bookmarkEnd w:id="136"/>
      <w:r>
        <w:rPr>
          <w:rFonts w:hint="eastAsia" w:ascii="仿宋" w:hAnsi="仿宋" w:eastAsia="仿宋"/>
          <w:b/>
          <w:color w:val="000000" w:themeColor="text1"/>
          <w:kern w:val="0"/>
          <w:szCs w:val="36"/>
          <w14:textFill>
            <w14:solidFill>
              <w14:schemeClr w14:val="tx1"/>
            </w14:solidFill>
          </w14:textFill>
        </w:rPr>
        <w:t>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为更好培育我省国家级“四新”</w:t>
      </w:r>
      <w:r>
        <w:rPr>
          <w:rFonts w:hint="eastAsia" w:ascii="仿宋" w:hAnsi="仿宋" w:eastAsia="仿宋"/>
        </w:rPr>
        <w:t>研究与改革实践项目</w:t>
      </w:r>
      <w:r>
        <w:rPr>
          <w:rFonts w:hint="eastAsia" w:ascii="仿宋" w:hAnsi="仿宋" w:eastAsia="仿宋"/>
          <w:color w:val="000000" w:themeColor="text1"/>
          <w:kern w:val="0"/>
          <w:szCs w:val="36"/>
          <w14:textFill>
            <w14:solidFill>
              <w14:schemeClr w14:val="tx1"/>
            </w14:solidFill>
          </w14:textFill>
        </w:rPr>
        <w:t>，要求参照教育部当年项目申报文件中的相应“四新”项目指南，结合已有工作基础和具体情况，按照相关选题要求研究确定。科学梳理“四新”教育改革发展的基本脉络，深刻把握高等教育改革发展的背景，充分认识当前教育改革创新的迫切性，主动谋划、把握机遇，统筹推进学校“四新”建设改革工作，深入开展新型人才培养、优化专业、建设实践基地、培育优质师资、强化协同育人、提升质量标准、深化开放合作等多样化探索和实践。</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w:t>
      </w:r>
      <w:r>
        <w:rPr>
          <w:rFonts w:ascii="仿宋" w:hAnsi="仿宋" w:eastAsia="仿宋"/>
          <w:b/>
          <w:color w:val="000000" w:themeColor="text1"/>
          <w:kern w:val="0"/>
          <w:szCs w:val="36"/>
          <w14:textFill>
            <w14:solidFill>
              <w14:schemeClr w14:val="tx1"/>
            </w14:solidFill>
          </w14:textFill>
        </w:rPr>
        <w:t>、</w:t>
      </w:r>
      <w:r>
        <w:rPr>
          <w:rFonts w:hint="eastAsia" w:ascii="仿宋" w:hAnsi="仿宋" w:eastAsia="仿宋"/>
          <w:b/>
          <w:color w:val="000000" w:themeColor="text1"/>
          <w:kern w:val="0"/>
          <w:szCs w:val="36"/>
          <w14:textFill>
            <w14:solidFill>
              <w14:schemeClr w14:val="tx1"/>
            </w14:solidFill>
          </w14:textFill>
        </w:rPr>
        <w:t>申报</w:t>
      </w:r>
      <w:r>
        <w:rPr>
          <w:rFonts w:ascii="仿宋" w:hAnsi="仿宋" w:eastAsia="仿宋"/>
          <w:b/>
          <w:color w:val="000000" w:themeColor="text1"/>
          <w:kern w:val="0"/>
          <w:szCs w:val="36"/>
          <w14:textFill>
            <w14:solidFill>
              <w14:schemeClr w14:val="tx1"/>
            </w14:solidFill>
          </w14:textFill>
        </w:rPr>
        <w:t>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本科高等学校根据专业设置情况择优推荐。</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1. “四新”研究与改革实践项目原则上依托国家级或省级一流专业建设点申报，其中新农科、新医科研究与改革实践项目分别面向涉农和涉医本科高校。</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突出创新。按照当前高等教育改革有关精神和工作部署，以改革创新为主线设计申报项目和开展实践，着眼于解决长期制约高等教育改革发展的重点难点问题，着眼于探索面向未来高等教育“四新”改革发展的新路径新范式。</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3.突出特色。根据高等学校发展定位，紧密结合办学优势、结合育人特色、结合工作基础、结合区域经济社会发展需求，合理选题，实现分类发展、特色发展、内涵发展。</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4.突出实践。要把研究与改革体现在实践中，把项目成果体现在实践成果上，推动理念新起来、学生忙起来、教师强起来、管理严起来、效果实起来，以实践推动“真刀真枪”的改革。</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5</w:t>
      </w:r>
      <w:r>
        <w:rPr>
          <w:rFonts w:ascii="仿宋" w:hAnsi="仿宋" w:eastAsia="仿宋"/>
          <w:color w:val="000000" w:themeColor="text1"/>
          <w:kern w:val="0"/>
          <w:szCs w:val="36"/>
          <w14:textFill>
            <w14:solidFill>
              <w14:schemeClr w14:val="tx1"/>
            </w14:solidFill>
          </w14:textFill>
        </w:rPr>
        <w:t>.</w:t>
      </w:r>
      <w:r>
        <w:rPr>
          <w:rFonts w:hint="eastAsia" w:ascii="仿宋" w:hAnsi="仿宋" w:eastAsia="仿宋"/>
          <w:color w:val="000000" w:themeColor="text1"/>
          <w:kern w:val="0"/>
          <w:szCs w:val="36"/>
          <w14:textFill>
            <w14:solidFill>
              <w14:schemeClr w14:val="tx1"/>
            </w14:solidFill>
          </w14:textFill>
        </w:rPr>
        <w:t xml:space="preserve"> “四新”研究与改革实践项目各高校总数不超过8项，新工科、新农科、新医科、新文科4类，每类限额2个，没有可不申报。</w:t>
      </w:r>
    </w:p>
    <w:bookmarkEnd w:id="38"/>
    <w:bookmarkEnd w:id="130"/>
    <w:bookmarkEnd w:id="131"/>
    <w:bookmarkEnd w:id="132"/>
    <w:p>
      <w:pPr>
        <w:pStyle w:val="4"/>
        <w:spacing w:before="435" w:beforeLines="100" w:after="0" w:line="560" w:lineRule="exact"/>
        <w:ind w:firstLine="723" w:firstLineChars="200"/>
        <w:rPr>
          <w:rFonts w:ascii="仿宋" w:hAnsi="仿宋" w:eastAsia="仿宋"/>
          <w:sz w:val="36"/>
          <w:szCs w:val="36"/>
        </w:rPr>
      </w:pPr>
      <w:bookmarkStart w:id="137" w:name="_Toc86068884"/>
      <w:bookmarkStart w:id="138" w:name="_Toc7826"/>
      <w:bookmarkStart w:id="139" w:name="_Toc20183"/>
      <w:bookmarkStart w:id="140" w:name="_Toc20588"/>
      <w:r>
        <w:rPr>
          <w:rFonts w:ascii="仿宋" w:hAnsi="仿宋" w:eastAsia="仿宋"/>
          <w:sz w:val="36"/>
          <w:szCs w:val="36"/>
        </w:rPr>
        <w:t>1-5</w:t>
      </w:r>
      <w:r>
        <w:rPr>
          <w:rFonts w:hint="eastAsia" w:ascii="仿宋" w:hAnsi="仿宋" w:eastAsia="仿宋"/>
          <w:sz w:val="36"/>
          <w:szCs w:val="36"/>
        </w:rPr>
        <w:t>传统专业改造提升项目</w:t>
      </w:r>
      <w:bookmarkEnd w:id="137"/>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适应我省经济社会发展需要，</w:t>
      </w:r>
      <w:r>
        <w:rPr>
          <w:rFonts w:ascii="仿宋" w:hAnsi="仿宋" w:eastAsia="仿宋"/>
          <w:kern w:val="0"/>
          <w:szCs w:val="36"/>
        </w:rPr>
        <w:t>充分发挥专业传统优势，凸显和强化专业特色</w:t>
      </w:r>
      <w:r>
        <w:rPr>
          <w:rFonts w:hint="eastAsia" w:ascii="仿宋" w:hAnsi="仿宋" w:eastAsia="仿宋"/>
          <w:kern w:val="0"/>
          <w:szCs w:val="36"/>
        </w:rPr>
        <w:t>，</w:t>
      </w:r>
      <w:r>
        <w:rPr>
          <w:rFonts w:hint="eastAsia" w:ascii="仿宋" w:hAnsi="仿宋" w:eastAsia="仿宋"/>
          <w:color w:val="000000" w:themeColor="text1"/>
          <w:kern w:val="0"/>
          <w:szCs w:val="36"/>
          <w14:textFill>
            <w14:solidFill>
              <w14:schemeClr w14:val="tx1"/>
            </w14:solidFill>
          </w14:textFill>
        </w:rPr>
        <w:t>加大专业改造力度，重点促进机械、冶金、化工、建材、纺织、食品加工等传统产业转型升级，向价值链中高端发展。在发挥传统学科专业师资力量强、办学经验丰富、教学资源充裕等优势的同时，加大学科专业的数字化、网络化和智能化改造力度，加强对人才培养模式的改革，加大专业课程体系和教学内容的改革和适应性调整力度，使传统学科专业进一步适应产业结构升级的要求，实现传统学科专业新的发展。</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以专业服务面向的区域或行业未来产业发展对人才的需求为导向，明确学生应掌握知识的深度和广度，打破传统专业的边界，融合人工智能、大数据等新兴专业知识，重构学生的专业知识结构；以新工业革命对专业人才的新要求为导向，研究学生的能力、素质所具有的内涵和特征，建立可落实、可衡量和可评价的学生能力和素质培养体系。</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在人才培养全过程要落实以学生成长成才为中心。课程体系和教学内容要满足学生终身的职业发展需要；教学组织形式和教学方法要能够激发学生的学习兴趣和潜能；教育教学资源的投入和配置要有利于学生能力和素质的培养；专业教师队伍建设要围绕着人才培养目标和毕业要求的实现进行。</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专业应深入推进课程思政教学改革，进一步挖掘专业课程所蕴含的德育元素，优化课程教学大纲、教学内容、教学方法，努力使专业课程与思政课程同向同行，形成协同效应，在知识传授的同时履行价值引领责任。</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积极探索深化产教融合新路径，在校企协同育人模式、共建课程体系、强化“双师双能”型师资队伍、提高学生双创能力等方面取得进展；深入推进产学合作，通过建立产业技术学院、共建实践基地等多种模式提高产学合作的产出能力。</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1.遵循传统专业改造升级的原则</w:t>
      </w:r>
      <w:r>
        <w:rPr>
          <w:rFonts w:hint="eastAsia" w:ascii="仿宋" w:hAnsi="仿宋" w:eastAsia="仿宋"/>
          <w:color w:val="000000" w:themeColor="text1"/>
          <w:kern w:val="0"/>
          <w:szCs w:val="36"/>
          <w14:textFill>
            <w14:solidFill>
              <w14:schemeClr w14:val="tx1"/>
            </w14:solidFill>
          </w14:textFill>
        </w:rPr>
        <w:t>，符合本校办学定位和发展方向，已纳入本校专业建设规划并进行重点建设，成效良好。</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具有较为雄厚的师资力量、较为完备的教学条件，在同类专业领域具有鲜明的特色和明显的优势，毕业生社会声誉好。</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改革思路清晰，目标明确，方案科学可行，管理有保障，成效可测量，具有创新性和先进性；有调动教师积极参与教学改革的政策和措施。</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专业改造能密切联系我省经济和社会发展，主动服务我省“十大新兴产业”，在与相关部门、科研院所、行业企业的合作育人方面有健全的体制机制。</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传统专业改造提升项目各高校原则上限报2项。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p>
    <w:p>
      <w:pPr>
        <w:pStyle w:val="3"/>
        <w:spacing w:after="0" w:line="560" w:lineRule="exact"/>
        <w:ind w:firstLine="640"/>
        <w:rPr>
          <w:rFonts w:ascii="仿宋" w:hAnsi="仿宋" w:eastAsia="仿宋"/>
          <w:color w:val="000000" w:themeColor="text1"/>
          <w:kern w:val="0"/>
          <w:sz w:val="36"/>
          <w:szCs w:val="36"/>
          <w14:textFill>
            <w14:solidFill>
              <w14:schemeClr w14:val="tx1"/>
            </w14:solidFill>
          </w14:textFill>
        </w:rPr>
      </w:pPr>
      <w:bookmarkStart w:id="141" w:name="_Toc86068885"/>
      <w:bookmarkStart w:id="142" w:name="_Toc3950"/>
      <w:bookmarkStart w:id="143" w:name="_Toc21132"/>
      <w:bookmarkStart w:id="144" w:name="_Toc29423"/>
      <w:bookmarkStart w:id="145" w:name="_Toc49108507"/>
      <w:r>
        <w:rPr>
          <w:rFonts w:ascii="仿宋" w:hAnsi="仿宋" w:eastAsia="仿宋"/>
          <w:color w:val="000000" w:themeColor="text1"/>
          <w:kern w:val="0"/>
          <w:sz w:val="36"/>
          <w:szCs w:val="36"/>
          <w14:textFill>
            <w14:solidFill>
              <w14:schemeClr w14:val="tx1"/>
            </w14:solidFill>
          </w14:textFill>
        </w:rPr>
        <w:t>2.一流课程</w:t>
      </w:r>
      <w:bookmarkEnd w:id="138"/>
      <w:bookmarkEnd w:id="139"/>
      <w:bookmarkEnd w:id="140"/>
      <w:bookmarkEnd w:id="141"/>
      <w:bookmarkEnd w:id="142"/>
      <w:bookmarkEnd w:id="143"/>
      <w:bookmarkEnd w:id="144"/>
      <w:bookmarkEnd w:id="145"/>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一流课程</w:t>
      </w:r>
      <w:r>
        <w:rPr>
          <w:rFonts w:hint="eastAsia" w:ascii="仿宋" w:hAnsi="仿宋" w:eastAsia="仿宋"/>
          <w:color w:val="000000" w:themeColor="text1"/>
          <w:kern w:val="0"/>
          <w:szCs w:val="36"/>
          <w14:textFill>
            <w14:solidFill>
              <w14:schemeClr w14:val="tx1"/>
            </w14:solidFill>
          </w14:textFill>
        </w:rPr>
        <w:t>包括</w:t>
      </w:r>
      <w:r>
        <w:rPr>
          <w:rFonts w:hint="eastAsia" w:ascii="仿宋" w:hAnsi="仿宋" w:eastAsia="仿宋" w:cs="方正仿宋_GBK"/>
          <w:color w:val="000000" w:themeColor="text1"/>
          <w:kern w:val="0"/>
          <w:szCs w:val="36"/>
          <w14:textFill>
            <w14:solidFill>
              <w14:schemeClr w14:val="tx1"/>
            </w14:solidFill>
          </w14:textFill>
        </w:rPr>
        <w:t>线上、线下、线上线下混合式、</w:t>
      </w:r>
      <w:r>
        <w:rPr>
          <w:rFonts w:hint="eastAsia" w:ascii="仿宋" w:hAnsi="仿宋" w:eastAsia="仿宋"/>
          <w:color w:val="000000" w:themeColor="text1"/>
          <w:kern w:val="0"/>
          <w:szCs w:val="36"/>
          <w14:textFill>
            <w14:solidFill>
              <w14:schemeClr w14:val="tx1"/>
            </w14:solidFill>
          </w14:textFill>
        </w:rPr>
        <w:t>社会实践和</w:t>
      </w:r>
      <w:r>
        <w:rPr>
          <w:rFonts w:hint="eastAsia" w:ascii="仿宋" w:hAnsi="仿宋" w:eastAsia="仿宋" w:cs="方正仿宋_GBK"/>
          <w:color w:val="000000" w:themeColor="text1"/>
          <w:kern w:val="0"/>
          <w:szCs w:val="36"/>
          <w14:textFill>
            <w14:solidFill>
              <w14:schemeClr w14:val="tx1"/>
            </w14:solidFill>
          </w14:textFill>
        </w:rPr>
        <w:t>虚拟仿真实验教学等五类课程。</w:t>
      </w:r>
      <w:r>
        <w:rPr>
          <w:rFonts w:hint="eastAsia" w:ascii="仿宋" w:hAnsi="仿宋" w:eastAsia="仿宋"/>
          <w:kern w:val="0"/>
          <w:szCs w:val="36"/>
        </w:rPr>
        <w:t>“双一流”建设高校择优推荐</w:t>
      </w:r>
      <w:r>
        <w:rPr>
          <w:rFonts w:hint="eastAsia" w:ascii="仿宋" w:hAnsi="仿宋" w:eastAsia="仿宋"/>
          <w:color w:val="000000" w:themeColor="text1"/>
          <w:kern w:val="0"/>
          <w:szCs w:val="36"/>
          <w14:textFill>
            <w14:solidFill>
              <w14:schemeClr w14:val="tx1"/>
            </w14:solidFill>
          </w14:textFill>
        </w:rPr>
        <w:t>原则上</w:t>
      </w:r>
      <w:r>
        <w:rPr>
          <w:rFonts w:hint="eastAsia" w:ascii="仿宋" w:hAnsi="仿宋" w:eastAsia="仿宋"/>
          <w:kern w:val="0"/>
          <w:szCs w:val="36"/>
        </w:rPr>
        <w:t>不超过</w:t>
      </w:r>
      <w:r>
        <w:rPr>
          <w:rFonts w:ascii="仿宋" w:hAnsi="仿宋" w:eastAsia="仿宋"/>
          <w:color w:val="000000" w:themeColor="text1"/>
          <w:kern w:val="0"/>
          <w:szCs w:val="36"/>
          <w14:textFill>
            <w14:solidFill>
              <w14:schemeClr w14:val="tx1"/>
            </w14:solidFill>
          </w14:textFill>
        </w:rPr>
        <w:t>30</w:t>
      </w:r>
      <w:r>
        <w:rPr>
          <w:rFonts w:hint="eastAsia" w:ascii="仿宋" w:hAnsi="仿宋" w:eastAsia="仿宋"/>
          <w:kern w:val="0"/>
          <w:szCs w:val="36"/>
        </w:rPr>
        <w:t>门</w:t>
      </w:r>
      <w:r>
        <w:rPr>
          <w:rFonts w:ascii="仿宋" w:hAnsi="仿宋" w:eastAsia="仿宋"/>
          <w:color w:val="000000" w:themeColor="text1"/>
          <w:kern w:val="0"/>
          <w:szCs w:val="36"/>
          <w14:textFill>
            <w14:solidFill>
              <w14:schemeClr w14:val="tx1"/>
            </w14:solidFill>
          </w14:textFill>
        </w:rPr>
        <w:t>，</w:t>
      </w:r>
      <w:r>
        <w:rPr>
          <w:rFonts w:hint="eastAsia" w:ascii="仿宋" w:hAnsi="仿宋" w:eastAsia="仿宋"/>
          <w:kern w:val="0"/>
          <w:szCs w:val="36"/>
        </w:rPr>
        <w:t>地方特色高水平大学不超过</w:t>
      </w:r>
      <w:r>
        <w:rPr>
          <w:rFonts w:ascii="仿宋" w:hAnsi="仿宋" w:eastAsia="仿宋"/>
          <w:color w:val="000000" w:themeColor="text1"/>
          <w:kern w:val="0"/>
          <w:szCs w:val="36"/>
          <w14:textFill>
            <w14:solidFill>
              <w14:schemeClr w14:val="tx1"/>
            </w14:solidFill>
          </w14:textFill>
        </w:rPr>
        <w:t>25</w:t>
      </w:r>
      <w:r>
        <w:rPr>
          <w:rFonts w:hint="eastAsia" w:ascii="仿宋" w:hAnsi="仿宋" w:eastAsia="仿宋"/>
          <w:kern w:val="0"/>
          <w:szCs w:val="36"/>
        </w:rPr>
        <w:t>门</w:t>
      </w:r>
      <w:r>
        <w:rPr>
          <w:rFonts w:ascii="仿宋" w:hAnsi="仿宋" w:eastAsia="仿宋"/>
          <w:color w:val="000000" w:themeColor="text1"/>
          <w:kern w:val="0"/>
          <w:szCs w:val="36"/>
          <w14:textFill>
            <w14:solidFill>
              <w14:schemeClr w14:val="tx1"/>
            </w14:solidFill>
          </w14:textFill>
        </w:rPr>
        <w:t>，</w:t>
      </w:r>
      <w:r>
        <w:rPr>
          <w:rFonts w:hint="eastAsia" w:ascii="仿宋" w:hAnsi="仿宋" w:eastAsia="仿宋"/>
          <w:kern w:val="0"/>
          <w:szCs w:val="36"/>
        </w:rPr>
        <w:t>地方应用型高水平大学不超过</w:t>
      </w:r>
      <w:r>
        <w:rPr>
          <w:rFonts w:ascii="仿宋" w:hAnsi="仿宋" w:eastAsia="仿宋"/>
          <w:color w:val="000000" w:themeColor="text1"/>
          <w:kern w:val="0"/>
          <w:szCs w:val="36"/>
          <w14:textFill>
            <w14:solidFill>
              <w14:schemeClr w14:val="tx1"/>
            </w14:solidFill>
          </w14:textFill>
        </w:rPr>
        <w:t>20</w:t>
      </w:r>
      <w:r>
        <w:rPr>
          <w:rFonts w:hint="eastAsia" w:ascii="仿宋" w:hAnsi="仿宋" w:eastAsia="仿宋"/>
          <w:kern w:val="0"/>
          <w:szCs w:val="36"/>
        </w:rPr>
        <w:t>门</w:t>
      </w:r>
      <w:r>
        <w:rPr>
          <w:rFonts w:ascii="仿宋" w:hAnsi="仿宋" w:eastAsia="仿宋"/>
          <w:color w:val="000000" w:themeColor="text1"/>
          <w:kern w:val="0"/>
          <w:szCs w:val="36"/>
          <w14:textFill>
            <w14:solidFill>
              <w14:schemeClr w14:val="tx1"/>
            </w14:solidFill>
          </w14:textFill>
        </w:rPr>
        <w:t>，</w:t>
      </w:r>
      <w:r>
        <w:rPr>
          <w:rFonts w:hint="eastAsia" w:ascii="仿宋" w:hAnsi="仿宋" w:eastAsia="仿宋"/>
          <w:kern w:val="0"/>
          <w:szCs w:val="36"/>
        </w:rPr>
        <w:t>其</w:t>
      </w:r>
      <w:r>
        <w:rPr>
          <w:rFonts w:hint="eastAsia" w:ascii="仿宋" w:hAnsi="仿宋" w:eastAsia="仿宋"/>
          <w:color w:val="000000" w:themeColor="text1"/>
          <w:kern w:val="0"/>
          <w:szCs w:val="36"/>
          <w14:textFill>
            <w14:solidFill>
              <w14:schemeClr w14:val="tx1"/>
            </w14:solidFill>
          </w14:textFill>
        </w:rPr>
        <w:t>他</w:t>
      </w:r>
      <w:r>
        <w:rPr>
          <w:rFonts w:hint="eastAsia" w:ascii="仿宋" w:hAnsi="仿宋" w:eastAsia="仿宋"/>
          <w:kern w:val="0"/>
          <w:szCs w:val="36"/>
        </w:rPr>
        <w:t>本科高校不超过</w:t>
      </w:r>
      <w:r>
        <w:rPr>
          <w:rFonts w:ascii="仿宋" w:hAnsi="仿宋" w:eastAsia="仿宋"/>
          <w:color w:val="000000" w:themeColor="text1"/>
          <w:kern w:val="0"/>
          <w:szCs w:val="36"/>
          <w14:textFill>
            <w14:solidFill>
              <w14:schemeClr w14:val="tx1"/>
            </w14:solidFill>
          </w14:textFill>
        </w:rPr>
        <w:t>15</w:t>
      </w:r>
      <w:r>
        <w:rPr>
          <w:rFonts w:hint="eastAsia" w:ascii="仿宋" w:hAnsi="仿宋" w:eastAsia="仿宋"/>
          <w:kern w:val="0"/>
          <w:szCs w:val="36"/>
        </w:rPr>
        <w:t>门。</w:t>
      </w:r>
      <w:r>
        <w:rPr>
          <w:rFonts w:hint="eastAsia" w:ascii="仿宋" w:hAnsi="仿宋" w:eastAsia="仿宋"/>
          <w:color w:val="000000" w:themeColor="text1"/>
          <w:kern w:val="0"/>
          <w:szCs w:val="36"/>
          <w14:textFill>
            <w14:solidFill>
              <w14:schemeClr w14:val="tx1"/>
            </w14:solidFill>
          </w14:textFill>
        </w:rPr>
        <w:t>五类课程不分别设推荐限额，同一所高校名额可以打通使用。各高校推荐申报</w:t>
      </w:r>
      <w:r>
        <w:rPr>
          <w:rFonts w:ascii="仿宋" w:hAnsi="仿宋" w:eastAsia="仿宋"/>
          <w:color w:val="000000" w:themeColor="text1"/>
          <w:kern w:val="0"/>
          <w:szCs w:val="36"/>
          <w14:textFill>
            <w14:solidFill>
              <w14:schemeClr w14:val="tx1"/>
            </w14:solidFill>
          </w14:textFill>
        </w:rPr>
        <w:t>2021</w:t>
      </w:r>
      <w:r>
        <w:rPr>
          <w:rFonts w:hint="eastAsia" w:ascii="仿宋" w:hAnsi="仿宋" w:eastAsia="仿宋"/>
          <w:color w:val="000000" w:themeColor="text1"/>
          <w:kern w:val="0"/>
          <w:szCs w:val="36"/>
          <w14:textFill>
            <w14:solidFill>
              <w14:schemeClr w14:val="tx1"/>
            </w14:solidFill>
          </w14:textFill>
        </w:rPr>
        <w:t>年度国家级一流本科课程，但未获省级推荐且未在省级立项过的课程，将优先立项。</w:t>
      </w:r>
    </w:p>
    <w:p>
      <w:pPr>
        <w:pStyle w:val="4"/>
        <w:spacing w:before="435" w:beforeLines="100" w:after="0" w:line="560" w:lineRule="exact"/>
        <w:ind w:firstLine="723" w:firstLineChars="200"/>
        <w:rPr>
          <w:rFonts w:ascii="仿宋" w:hAnsi="仿宋" w:eastAsia="仿宋"/>
          <w:sz w:val="36"/>
          <w:szCs w:val="36"/>
        </w:rPr>
      </w:pPr>
      <w:bookmarkStart w:id="146" w:name="_Toc16598"/>
      <w:bookmarkStart w:id="147" w:name="_Toc86068886"/>
      <w:bookmarkStart w:id="148" w:name="_Toc647"/>
      <w:bookmarkStart w:id="149" w:name="_Toc20806"/>
      <w:bookmarkStart w:id="150" w:name="_Toc4040"/>
      <w:bookmarkStart w:id="151" w:name="_Toc49108508"/>
      <w:bookmarkStart w:id="152" w:name="_Toc16370"/>
      <w:bookmarkStart w:id="153" w:name="_Toc19202"/>
      <w:r>
        <w:rPr>
          <w:rFonts w:ascii="仿宋" w:hAnsi="仿宋" w:eastAsia="仿宋"/>
          <w:sz w:val="36"/>
          <w:szCs w:val="36"/>
        </w:rPr>
        <w:t>2-1</w:t>
      </w:r>
      <w:r>
        <w:rPr>
          <w:rFonts w:hint="eastAsia" w:ascii="仿宋" w:hAnsi="仿宋" w:eastAsia="仿宋"/>
          <w:sz w:val="36"/>
          <w:szCs w:val="36"/>
        </w:rPr>
        <w:t>线上课程</w:t>
      </w:r>
      <w:bookmarkEnd w:id="146"/>
      <w:bookmarkEnd w:id="147"/>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线上课程培育项目建设标准，参照省级大规模在线开放课程（</w:t>
      </w:r>
      <w:r>
        <w:rPr>
          <w:rFonts w:ascii="仿宋" w:hAnsi="仿宋" w:eastAsia="仿宋"/>
          <w:color w:val="000000" w:themeColor="text1"/>
          <w:kern w:val="0"/>
          <w:szCs w:val="36"/>
          <w14:textFill>
            <w14:solidFill>
              <w14:schemeClr w14:val="tx1"/>
            </w14:solidFill>
          </w14:textFill>
        </w:rPr>
        <w:t>MOOC）示范项目管理办法，</w:t>
      </w:r>
      <w:r>
        <w:rPr>
          <w:rFonts w:hint="eastAsia" w:ascii="仿宋" w:hAnsi="仿宋" w:eastAsia="仿宋"/>
          <w:color w:val="000000" w:themeColor="text1"/>
          <w:kern w:val="0"/>
          <w:szCs w:val="36"/>
          <w14:textFill>
            <w14:solidFill>
              <w14:schemeClr w14:val="tx1"/>
            </w14:solidFill>
          </w14:textFill>
        </w:rPr>
        <w:t>具体</w:t>
      </w:r>
      <w:r>
        <w:rPr>
          <w:rFonts w:ascii="仿宋" w:hAnsi="仿宋" w:eastAsia="仿宋"/>
          <w:color w:val="000000" w:themeColor="text1"/>
          <w:kern w:val="0"/>
          <w:szCs w:val="36"/>
          <w14:textFill>
            <w14:solidFill>
              <w14:schemeClr w14:val="tx1"/>
            </w14:solidFill>
          </w14:textFill>
        </w:rPr>
        <w:t>如下：</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54" w:name="_Toc1095"/>
      <w:bookmarkStart w:id="155" w:name="_Toc7510"/>
      <w:r>
        <w:rPr>
          <w:rFonts w:hint="eastAsia" w:ascii="仿宋" w:hAnsi="仿宋" w:eastAsia="仿宋"/>
          <w:b/>
          <w:color w:val="000000" w:themeColor="text1"/>
          <w:kern w:val="0"/>
          <w:szCs w:val="36"/>
          <w14:textFill>
            <w14:solidFill>
              <w14:schemeClr w14:val="tx1"/>
            </w14:solidFill>
          </w14:textFill>
        </w:rPr>
        <w:t>一、建设目标</w:t>
      </w:r>
      <w:bookmarkEnd w:id="154"/>
      <w:bookmarkEnd w:id="155"/>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通过互联网技术与应用的云端开放式课程教育平台，更新教育理念、拓展教学时空、丰富教学内容、创新教学活动、变革教学手段、改进教学方法，进一步推动我省线上课程建设与应用共享，优化教学资源，提高高等教育教学质量，服务学习型社会建设。</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56" w:name="_Toc11014"/>
      <w:bookmarkStart w:id="157" w:name="_Toc21227"/>
      <w:r>
        <w:rPr>
          <w:rFonts w:hint="eastAsia" w:ascii="仿宋" w:hAnsi="仿宋" w:eastAsia="仿宋"/>
          <w:b/>
          <w:color w:val="000000" w:themeColor="text1"/>
          <w:kern w:val="0"/>
          <w:szCs w:val="36"/>
          <w14:textFill>
            <w14:solidFill>
              <w14:schemeClr w14:val="tx1"/>
            </w14:solidFill>
          </w14:textFill>
        </w:rPr>
        <w:t>二、建设</w:t>
      </w:r>
      <w:bookmarkEnd w:id="156"/>
      <w:bookmarkEnd w:id="157"/>
      <w:r>
        <w:rPr>
          <w:rFonts w:hint="eastAsia" w:ascii="仿宋" w:hAnsi="仿宋" w:eastAsia="仿宋"/>
          <w:b/>
          <w:color w:val="000000" w:themeColor="text1"/>
          <w:kern w:val="0"/>
          <w:szCs w:val="36"/>
          <w14:textFill>
            <w14:solidFill>
              <w14:schemeClr w14:val="tx1"/>
            </w14:solidFill>
          </w14:textFill>
        </w:rPr>
        <w:t>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1.课程资源。基于MOOC课程特性进行建设</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对现有课程教学设计、单元内容、知识结构、课程资源、评价体系等进行改革</w:t>
      </w:r>
      <w:r>
        <w:rPr>
          <w:rFonts w:hint="eastAsia" w:ascii="仿宋" w:hAnsi="仿宋" w:eastAsia="仿宋"/>
          <w:color w:val="000000" w:themeColor="text1"/>
          <w:kern w:val="0"/>
          <w:szCs w:val="36"/>
          <w14:textFill>
            <w14:solidFill>
              <w14:schemeClr w14:val="tx1"/>
            </w14:solidFill>
          </w14:textFill>
        </w:rPr>
        <w:t>创新</w:t>
      </w:r>
      <w:r>
        <w:rPr>
          <w:rFonts w:ascii="仿宋" w:hAnsi="仿宋" w:eastAsia="仿宋"/>
          <w:color w:val="000000" w:themeColor="text1"/>
          <w:kern w:val="0"/>
          <w:szCs w:val="36"/>
          <w14:textFill>
            <w14:solidFill>
              <w14:schemeClr w14:val="tx1"/>
            </w14:solidFill>
          </w14:textFill>
        </w:rPr>
        <w:t>，以符合大规模网络教学特征</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依托网络教学平台，提供完整教学资源（含课程简介、教师队伍、教学大纲、授课教案、作业习题、资料库等）；视频内容按问题组织知识点，以知识点进行资源建设，注重以学生为中心建立教与学新型关系，注重学生批判性思维、合作能力、解决复杂问题能力的培育。</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2.团队建设。团队包括主讲</w:t>
      </w:r>
      <w:r>
        <w:rPr>
          <w:rFonts w:hint="eastAsia" w:ascii="仿宋" w:hAnsi="仿宋" w:eastAsia="仿宋"/>
          <w:color w:val="000000" w:themeColor="text1"/>
          <w:kern w:val="0"/>
          <w:szCs w:val="36"/>
          <w14:textFill>
            <w14:solidFill>
              <w14:schemeClr w14:val="tx1"/>
            </w14:solidFill>
          </w14:textFill>
        </w:rPr>
        <w:t>教师</w:t>
      </w:r>
      <w:r>
        <w:rPr>
          <w:rFonts w:ascii="仿宋" w:hAnsi="仿宋" w:eastAsia="仿宋"/>
          <w:color w:val="000000" w:themeColor="text1"/>
          <w:kern w:val="0"/>
          <w:szCs w:val="36"/>
          <w14:textFill>
            <w14:solidFill>
              <w14:schemeClr w14:val="tx1"/>
            </w14:solidFill>
          </w14:textFill>
        </w:rPr>
        <w:t>、线</w:t>
      </w:r>
      <w:r>
        <w:rPr>
          <w:rFonts w:hint="eastAsia" w:ascii="仿宋" w:hAnsi="仿宋" w:eastAsia="仿宋"/>
          <w:color w:val="000000" w:themeColor="text1"/>
          <w:kern w:val="0"/>
          <w:szCs w:val="36"/>
          <w14:textFill>
            <w14:solidFill>
              <w14:schemeClr w14:val="tx1"/>
            </w14:solidFill>
          </w14:textFill>
        </w:rPr>
        <w:t>上</w:t>
      </w:r>
      <w:r>
        <w:rPr>
          <w:rFonts w:ascii="仿宋" w:hAnsi="仿宋" w:eastAsia="仿宋"/>
          <w:color w:val="000000" w:themeColor="text1"/>
          <w:kern w:val="0"/>
          <w:szCs w:val="36"/>
          <w14:textFill>
            <w14:solidFill>
              <w14:schemeClr w14:val="tx1"/>
            </w14:solidFill>
          </w14:textFill>
        </w:rPr>
        <w:t>教学人员，既确保课程学术性，又考虑技术性，充分做好网络教学设计与在线教学过程的互动交流。</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3.平台支持。利用向高校和社会开放学习服务的公开课程平台，平台运行安全稳定畅通，课程在线教学支持服务高效。</w:t>
      </w:r>
      <w:r>
        <w:rPr>
          <w:rFonts w:hint="eastAsia" w:ascii="仿宋" w:hAnsi="仿宋" w:eastAsia="仿宋"/>
          <w:color w:val="000000" w:themeColor="text1"/>
          <w:kern w:val="0"/>
          <w:szCs w:val="36"/>
          <w14:textFill>
            <w14:solidFill>
              <w14:schemeClr w14:val="tx1"/>
            </w14:solidFill>
          </w14:textFill>
        </w:rPr>
        <w:t>课程平台须按照《中国互联网管理条例》等规定，完成有关备案和审批手续，须至少获得国家信息安全等级保护二级认证。</w:t>
      </w:r>
      <w:r>
        <w:rPr>
          <w:rFonts w:ascii="仿宋" w:hAnsi="仿宋" w:eastAsia="仿宋"/>
          <w:color w:val="000000" w:themeColor="text1"/>
          <w:kern w:val="0"/>
          <w:szCs w:val="36"/>
          <w14:textFill>
            <w14:solidFill>
              <w14:schemeClr w14:val="tx1"/>
            </w14:solidFill>
          </w14:textFill>
        </w:rPr>
        <w:t>鼓励使用省级在线开放课程平台e会学平台，便于后期学分互换、互认以及课程共享联盟工作的开展。</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 xml:space="preserve">4.平台数据。课程可在多个平台开课，多个平台的有关数据可按平台分别提供“课程数据信息表”。 </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5.学校要加强整合、引导教师团队以专业（类）为核心，开发一批基于MOOC的网络课程群，供高校学生和社会公众学习，实现优质课程资源共享。</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6.鼓励高校建设一批面向高中的、具有本校优势与特色的大学先修课程（Advanced Placement），供高中学生选修。</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7.由安徽省高校数字图书馆（安徽省网络课程学习中心）牵头，试点开展在线课程学分认定、认证工作，提供由相关学校认证的课程证书。</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58" w:name="_Toc19806"/>
      <w:bookmarkStart w:id="159" w:name="_Toc16753"/>
      <w:r>
        <w:rPr>
          <w:rFonts w:hint="eastAsia" w:ascii="仿宋" w:hAnsi="仿宋" w:eastAsia="仿宋"/>
          <w:b/>
          <w:color w:val="000000" w:themeColor="text1"/>
          <w:kern w:val="0"/>
          <w:szCs w:val="36"/>
          <w14:textFill>
            <w14:solidFill>
              <w14:schemeClr w14:val="tx1"/>
            </w14:solidFill>
          </w14:textFill>
        </w:rPr>
        <w:t>三、申报</w:t>
      </w:r>
      <w:bookmarkEnd w:id="158"/>
      <w:bookmarkEnd w:id="159"/>
      <w:r>
        <w:rPr>
          <w:rFonts w:hint="eastAsia" w:ascii="仿宋" w:hAnsi="仿宋" w:eastAsia="仿宋"/>
          <w:b/>
          <w:color w:val="000000" w:themeColor="text1"/>
          <w:kern w:val="0"/>
          <w:szCs w:val="36"/>
          <w14:textFill>
            <w14:solidFill>
              <w14:schemeClr w14:val="tx1"/>
            </w14:solidFill>
          </w14:textFill>
        </w:rPr>
        <w:t>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1.申报课程</w:t>
      </w:r>
      <w:r>
        <w:rPr>
          <w:rFonts w:hint="eastAsia" w:ascii="仿宋" w:hAnsi="仿宋" w:eastAsia="仿宋"/>
          <w:color w:val="000000" w:themeColor="text1"/>
          <w:kern w:val="0"/>
          <w:szCs w:val="36"/>
          <w14:textFill>
            <w14:solidFill>
              <w14:schemeClr w14:val="tx1"/>
            </w14:solidFill>
          </w14:textFill>
        </w:rPr>
        <w:t>应</w:t>
      </w:r>
      <w:r>
        <w:rPr>
          <w:rFonts w:ascii="仿宋" w:hAnsi="仿宋" w:eastAsia="仿宋"/>
          <w:color w:val="000000" w:themeColor="text1"/>
          <w:kern w:val="0"/>
          <w:szCs w:val="36"/>
          <w14:textFill>
            <w14:solidFill>
              <w14:schemeClr w14:val="tx1"/>
            </w14:solidFill>
          </w14:textFill>
        </w:rPr>
        <w:t>是普通高校课程。鼓励</w:t>
      </w:r>
      <w:r>
        <w:rPr>
          <w:rFonts w:hint="eastAsia" w:ascii="仿宋" w:hAnsi="仿宋" w:eastAsia="仿宋"/>
          <w:color w:val="000000" w:themeColor="text1"/>
          <w:kern w:val="0"/>
          <w:szCs w:val="36"/>
          <w14:textFill>
            <w14:solidFill>
              <w14:schemeClr w14:val="tx1"/>
            </w14:solidFill>
          </w14:textFill>
        </w:rPr>
        <w:t>申报</w:t>
      </w:r>
      <w:r>
        <w:rPr>
          <w:rFonts w:ascii="仿宋" w:hAnsi="仿宋" w:eastAsia="仿宋"/>
          <w:color w:val="000000" w:themeColor="text1"/>
          <w:kern w:val="0"/>
          <w:szCs w:val="36"/>
          <w14:textFill>
            <w14:solidFill>
              <w14:schemeClr w14:val="tx1"/>
            </w14:solidFill>
          </w14:textFill>
        </w:rPr>
        <w:t>量大面广的公共基础课、专业基础课、专业核心课</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鼓励申报体现多学科思维融合、产业技术与学科理论融合、跨专业能力融合、多学科项目实践融合的新工科、新医科、新农科、新文科等高水平课程</w:t>
      </w:r>
      <w:r>
        <w:rPr>
          <w:rFonts w:hint="eastAsia" w:ascii="仿宋" w:hAnsi="仿宋" w:eastAsia="仿宋"/>
          <w:color w:val="000000" w:themeColor="text1"/>
          <w:kern w:val="0"/>
          <w:szCs w:val="36"/>
          <w14:textFill>
            <w14:solidFill>
              <w14:schemeClr w14:val="tx1"/>
            </w14:solidFill>
          </w14:textFill>
        </w:rPr>
        <w:t>；鼓励申报有利于对外传播的双语课程。</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申报课程应在高校已连续开设</w:t>
      </w:r>
      <w:r>
        <w:rPr>
          <w:rFonts w:ascii="仿宋" w:hAnsi="仿宋" w:eastAsia="仿宋"/>
          <w:color w:val="000000" w:themeColor="text1"/>
          <w:kern w:val="0"/>
          <w:szCs w:val="36"/>
          <w14:textFill>
            <w14:solidFill>
              <w14:schemeClr w14:val="tx1"/>
            </w14:solidFill>
          </w14:textFill>
        </w:rPr>
        <w:t>3个教学周期及以上</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课程负责人须为具有副教授及以上职称或博士学位的高校专任教师，且教学经验丰富</w:t>
      </w:r>
      <w:r>
        <w:rPr>
          <w:rFonts w:hint="eastAsia" w:ascii="仿宋" w:hAnsi="仿宋" w:eastAsia="仿宋"/>
          <w:color w:val="000000" w:themeColor="text1"/>
          <w:kern w:val="0"/>
          <w:szCs w:val="36"/>
          <w14:textFill>
            <w14:solidFill>
              <w14:schemeClr w14:val="tx1"/>
            </w14:solidFill>
          </w14:textFill>
        </w:rPr>
        <w:t>；团队主要成员须为平台显示授课教师。</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3.课程负责人</w:t>
      </w:r>
      <w:r>
        <w:rPr>
          <w:rFonts w:hint="eastAsia" w:ascii="仿宋" w:hAnsi="仿宋" w:eastAsia="仿宋"/>
          <w:color w:val="000000" w:themeColor="text1"/>
          <w:kern w:val="0"/>
          <w:szCs w:val="36"/>
          <w14:textFill>
            <w14:solidFill>
              <w14:schemeClr w14:val="tx1"/>
            </w14:solidFill>
          </w14:textFill>
        </w:rPr>
        <w:t>应</w:t>
      </w:r>
      <w:r>
        <w:rPr>
          <w:rFonts w:ascii="仿宋" w:hAnsi="仿宋" w:eastAsia="仿宋"/>
          <w:color w:val="000000" w:themeColor="text1"/>
          <w:kern w:val="0"/>
          <w:szCs w:val="36"/>
          <w14:textFill>
            <w14:solidFill>
              <w14:schemeClr w14:val="tx1"/>
            </w14:solidFill>
          </w14:textFill>
        </w:rPr>
        <w:t>承诺申报材料的真实性，课程内容规范完整，体现前沿性和时代性，反映学科专业最新发展成果和教改教研成果，具有较高的科学性，内容更新和完善及时。无危害国家安全、涉密及其他不适宜网络公开传播的内容，引用的课程资源要注明来源，无侵犯他人知识产权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4.为加大优质教学资源共享力度，课程申报高校要为申报课程提供建设经费。线上课程结题验收等级在合格及以上的项目，须继续建设与完善，自验收结果公布始面向社会开放并提供教学服务不少于5年。</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为支持课程建设，学校要配套出台支持课程建设的相关文件，对教学团队运用在线课程教学的工作量认定等方面做出明确的认定方案。对没有配套政策支持的学校不予立项，申报时需要提供学校配套政策的相关文件。</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60" w:name="_Toc11913"/>
      <w:bookmarkStart w:id="161" w:name="_Toc14391"/>
      <w:r>
        <w:rPr>
          <w:rFonts w:hint="eastAsia" w:ascii="仿宋" w:hAnsi="仿宋" w:eastAsia="仿宋"/>
          <w:b/>
          <w:color w:val="000000" w:themeColor="text1"/>
          <w:kern w:val="0"/>
          <w:szCs w:val="36"/>
          <w14:textFill>
            <w14:solidFill>
              <w14:schemeClr w14:val="tx1"/>
            </w14:solidFill>
          </w14:textFill>
        </w:rPr>
        <w:t>四、验收</w:t>
      </w:r>
      <w:bookmarkEnd w:id="160"/>
      <w:bookmarkEnd w:id="161"/>
      <w:r>
        <w:rPr>
          <w:rFonts w:hint="eastAsia" w:ascii="仿宋" w:hAnsi="仿宋" w:eastAsia="仿宋"/>
          <w:b/>
          <w:color w:val="000000" w:themeColor="text1"/>
          <w:kern w:val="0"/>
          <w:szCs w:val="36"/>
          <w14:textFill>
            <w14:solidFill>
              <w14:schemeClr w14:val="tx1"/>
            </w14:solidFill>
          </w14:textFill>
        </w:rPr>
        <w:t>标准</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通过课程建设与应用，结项时需达到安徽省线上课程验收标准（见表</w:t>
      </w:r>
      <w:r>
        <w:rPr>
          <w:rFonts w:ascii="仿宋" w:hAnsi="仿宋" w:eastAsia="仿宋"/>
          <w:color w:val="000000" w:themeColor="text1"/>
          <w:kern w:val="0"/>
          <w:szCs w:val="36"/>
          <w14:textFill>
            <w14:solidFill>
              <w14:schemeClr w14:val="tx1"/>
            </w14:solidFill>
          </w14:textFill>
        </w:rPr>
        <w:t>1）或达到国家级</w:t>
      </w:r>
      <w:r>
        <w:rPr>
          <w:rFonts w:hint="eastAsia" w:ascii="仿宋" w:hAnsi="仿宋" w:eastAsia="仿宋"/>
          <w:color w:val="000000" w:themeColor="text1"/>
          <w:kern w:val="0"/>
          <w:szCs w:val="36"/>
          <w14:textFill>
            <w14:solidFill>
              <w14:schemeClr w14:val="tx1"/>
            </w14:solidFill>
          </w14:textFill>
        </w:rPr>
        <w:t>线上一流本科</w:t>
      </w:r>
      <w:r>
        <w:rPr>
          <w:rFonts w:ascii="仿宋" w:hAnsi="仿宋" w:eastAsia="仿宋"/>
          <w:color w:val="000000" w:themeColor="text1"/>
          <w:kern w:val="0"/>
          <w:szCs w:val="36"/>
          <w14:textFill>
            <w14:solidFill>
              <w14:schemeClr w14:val="tx1"/>
            </w14:solidFill>
          </w14:textFill>
        </w:rPr>
        <w:t>课程标准。</w:t>
      </w:r>
    </w:p>
    <w:p>
      <w:pPr>
        <w:widowControl/>
        <w:adjustRightInd w:val="0"/>
        <w:snapToGrid w:val="0"/>
        <w:spacing w:line="5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表</w:t>
      </w:r>
      <w:r>
        <w:rPr>
          <w:rFonts w:ascii="仿宋" w:hAnsi="仿宋" w:eastAsia="仿宋"/>
          <w:b/>
          <w:bCs/>
          <w:color w:val="000000" w:themeColor="text1"/>
          <w:kern w:val="0"/>
          <w:sz w:val="24"/>
          <w14:textFill>
            <w14:solidFill>
              <w14:schemeClr w14:val="tx1"/>
            </w14:solidFill>
          </w14:textFill>
        </w:rPr>
        <w:t xml:space="preserve">1: </w:t>
      </w:r>
      <w:r>
        <w:rPr>
          <w:rFonts w:hint="eastAsia" w:ascii="仿宋" w:hAnsi="仿宋" w:eastAsia="仿宋"/>
          <w:b/>
          <w:bCs/>
          <w:color w:val="000000" w:themeColor="text1"/>
          <w:kern w:val="0"/>
          <w:sz w:val="24"/>
          <w14:textFill>
            <w14:solidFill>
              <w14:schemeClr w14:val="tx1"/>
            </w14:solidFill>
          </w14:textFill>
        </w:rPr>
        <w:t>安徽省线上</w:t>
      </w:r>
      <w:r>
        <w:rPr>
          <w:rFonts w:ascii="仿宋" w:hAnsi="仿宋" w:eastAsia="仿宋"/>
          <w:b/>
          <w:bCs/>
          <w:color w:val="000000" w:themeColor="text1"/>
          <w:kern w:val="0"/>
          <w:sz w:val="24"/>
          <w14:textFill>
            <w14:solidFill>
              <w14:schemeClr w14:val="tx1"/>
            </w14:solidFill>
          </w14:textFill>
        </w:rPr>
        <w:t>课程验收标准</w:t>
      </w:r>
    </w:p>
    <w:tbl>
      <w:tblPr>
        <w:tblStyle w:val="17"/>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71" w:type="dxa"/>
            <w:vAlign w:val="center"/>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一级指标</w:t>
            </w:r>
          </w:p>
        </w:tc>
        <w:tc>
          <w:tcPr>
            <w:tcW w:w="1276" w:type="dxa"/>
            <w:vAlign w:val="center"/>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二级指标</w:t>
            </w:r>
          </w:p>
        </w:tc>
        <w:tc>
          <w:tcPr>
            <w:tcW w:w="5660" w:type="dxa"/>
            <w:vAlign w:val="center"/>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271" w:type="dxa"/>
            <w:vMerge w:val="restart"/>
            <w:vAlign w:val="center"/>
          </w:tcPr>
          <w:p>
            <w:pPr>
              <w:adjustRightInd w:val="0"/>
              <w:snapToGrid w:val="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课程建设</w:t>
            </w:r>
          </w:p>
        </w:tc>
        <w:tc>
          <w:tcPr>
            <w:tcW w:w="1276" w:type="dxa"/>
            <w:vAlign w:val="center"/>
          </w:tcPr>
          <w:p>
            <w:pPr>
              <w:adjustRightInd w:val="0"/>
              <w:snapToGrid w:val="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视频资源</w:t>
            </w:r>
          </w:p>
        </w:tc>
        <w:tc>
          <w:tcPr>
            <w:tcW w:w="5660" w:type="dxa"/>
            <w:vAlign w:val="center"/>
          </w:tcPr>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1.视频内容：课程视频内容包含课程教学大纲完整章节内容，教学内容科学、准确，弘扬社会主义核心价值观；</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2.视频时长：总时长原则上≥480分钟；</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3.技术规范：参照《安徽省MOOC示范项目课程建设规范及标准》执行；</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4.知识产权：无侵权行为。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271" w:type="dxa"/>
            <w:vMerge w:val="continue"/>
          </w:tcPr>
          <w:p>
            <w:pPr>
              <w:adjustRightInd w:val="0"/>
              <w:snapToGrid w:val="0"/>
              <w:rPr>
                <w:rFonts w:ascii="仿宋" w:hAnsi="仿宋" w:eastAsia="仿宋"/>
                <w:b/>
                <w:color w:val="000000" w:themeColor="text1"/>
                <w:sz w:val="24"/>
                <w14:textFill>
                  <w14:solidFill>
                    <w14:schemeClr w14:val="tx1"/>
                  </w14:solidFill>
                </w14:textFill>
              </w:rPr>
            </w:pPr>
          </w:p>
        </w:tc>
        <w:tc>
          <w:tcPr>
            <w:tcW w:w="1276" w:type="dxa"/>
            <w:vAlign w:val="center"/>
          </w:tcPr>
          <w:p>
            <w:pPr>
              <w:adjustRightInd w:val="0"/>
              <w:snapToGrid w:val="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非视频资源</w:t>
            </w:r>
          </w:p>
        </w:tc>
        <w:tc>
          <w:tcPr>
            <w:tcW w:w="5660" w:type="dxa"/>
            <w:vAlign w:val="center"/>
          </w:tcPr>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1.完备性：包含课程介绍、课程公告、教学大纲、课件、参考资料、讨论、测试和作业、考试等；</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2.资源数量：非视频资源数量原则上≥50个/周期；</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3.技术规范：参照《安徽省MOOC示范项目课程建设规范及标准》执行；</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4.知识产权：无侵权行为。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71" w:type="dxa"/>
            <w:vMerge w:val="restart"/>
            <w:vAlign w:val="center"/>
          </w:tcPr>
          <w:p>
            <w:pPr>
              <w:adjustRightInd w:val="0"/>
              <w:snapToGrid w:val="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课程应用</w:t>
            </w:r>
          </w:p>
        </w:tc>
        <w:tc>
          <w:tcPr>
            <w:tcW w:w="1276" w:type="dxa"/>
            <w:vAlign w:val="center"/>
          </w:tcPr>
          <w:p>
            <w:pPr>
              <w:adjustRightInd w:val="0"/>
              <w:snapToGrid w:val="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运行平台及周期</w:t>
            </w:r>
          </w:p>
        </w:tc>
        <w:tc>
          <w:tcPr>
            <w:tcW w:w="5660" w:type="dxa"/>
            <w:vAlign w:val="center"/>
          </w:tcPr>
          <w:p>
            <w:pPr>
              <w:adjustRightInd w:val="0"/>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在国内外主流网络课程平台上线，并至少运行</w:t>
            </w:r>
            <w:r>
              <w:rPr>
                <w:rFonts w:ascii="仿宋" w:hAnsi="仿宋" w:eastAsia="仿宋"/>
                <w:color w:val="000000" w:themeColor="text1"/>
                <w:sz w:val="24"/>
                <w14:textFill>
                  <w14:solidFill>
                    <w14:schemeClr w14:val="tx1"/>
                  </w14:solidFill>
                </w14:textFill>
              </w:rPr>
              <w:t>2个完整教学周期</w:t>
            </w:r>
            <w:r>
              <w:rPr>
                <w:rFonts w:hint="eastAsia" w:ascii="仿宋" w:hAnsi="仿宋" w:eastAsia="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1271" w:type="dxa"/>
            <w:vMerge w:val="continue"/>
          </w:tcPr>
          <w:p>
            <w:pPr>
              <w:adjustRightInd w:val="0"/>
              <w:snapToGrid w:val="0"/>
              <w:rPr>
                <w:rFonts w:ascii="仿宋" w:hAnsi="仿宋" w:eastAsia="仿宋"/>
                <w:b/>
                <w:color w:val="000000" w:themeColor="text1"/>
                <w:sz w:val="24"/>
                <w14:textFill>
                  <w14:solidFill>
                    <w14:schemeClr w14:val="tx1"/>
                  </w14:solidFill>
                </w14:textFill>
              </w:rPr>
            </w:pPr>
          </w:p>
        </w:tc>
        <w:tc>
          <w:tcPr>
            <w:tcW w:w="1276" w:type="dxa"/>
            <w:vAlign w:val="center"/>
          </w:tcPr>
          <w:p>
            <w:pPr>
              <w:adjustRightInd w:val="0"/>
              <w:snapToGrid w:val="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教学活动与指导</w:t>
            </w:r>
          </w:p>
        </w:tc>
        <w:tc>
          <w:tcPr>
            <w:tcW w:w="5660" w:type="dxa"/>
            <w:vAlign w:val="center"/>
          </w:tcPr>
          <w:p>
            <w:pPr>
              <w:adjustRightInd w:val="0"/>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基于网络课程平台，教师为学习者提供测验、作业、考试、答疑、讨论等教学组织活动，及时开展在线指导与测评。各项教学活动完整、有效，按计划实施，师生互动充分，能有效促进师生之间、学生之间进行资源共享、互动交流和自主式与协作式学习。在</w:t>
            </w:r>
            <w:r>
              <w:rPr>
                <w:rFonts w:hint="eastAsia" w:ascii="仿宋" w:hAnsi="仿宋" w:eastAsia="仿宋"/>
                <w:b/>
                <w:color w:val="000000" w:themeColor="text1"/>
                <w:sz w:val="24"/>
                <w14:textFill>
                  <w14:solidFill>
                    <w14:schemeClr w14:val="tx1"/>
                  </w14:solidFill>
                </w14:textFill>
              </w:rPr>
              <w:t>一个教学周期</w:t>
            </w:r>
            <w:r>
              <w:rPr>
                <w:rFonts w:hint="eastAsia" w:ascii="仿宋" w:hAnsi="仿宋" w:eastAsia="仿宋"/>
                <w:color w:val="000000" w:themeColor="text1"/>
                <w:sz w:val="24"/>
                <w14:textFill>
                  <w14:solidFill>
                    <w14:schemeClr w14:val="tx1"/>
                  </w14:solidFill>
                </w14:textFill>
              </w:rPr>
              <w:t>内，课程数据原则上应满足如下要求：</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课程公告：</w:t>
            </w:r>
            <w:r>
              <w:rPr>
                <w:rFonts w:hint="eastAsia" w:ascii="仿宋" w:hAnsi="仿宋" w:eastAsia="仿宋"/>
                <w:color w:val="000000" w:themeColor="text1"/>
                <w:sz w:val="24"/>
                <w14:textFill>
                  <w14:solidFill>
                    <w14:schemeClr w14:val="tx1"/>
                  </w14:solidFill>
                </w14:textFill>
              </w:rPr>
              <w:t>次数≥</w:t>
            </w:r>
            <w:r>
              <w:rPr>
                <w:rFonts w:ascii="仿宋" w:hAnsi="仿宋" w:eastAsia="仿宋"/>
                <w:color w:val="000000" w:themeColor="text1"/>
                <w:sz w:val="24"/>
                <w14:textFill>
                  <w14:solidFill>
                    <w14:schemeClr w14:val="tx1"/>
                  </w14:solidFill>
                </w14:textFill>
              </w:rPr>
              <w:t>10次；</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测验和作业</w:t>
            </w:r>
            <w:r>
              <w:rPr>
                <w:rFonts w:hint="eastAsia" w:ascii="仿宋" w:hAnsi="仿宋" w:eastAsia="仿宋"/>
                <w:color w:val="000000" w:themeColor="text1"/>
                <w:sz w:val="24"/>
                <w14:textFill>
                  <w14:solidFill>
                    <w14:schemeClr w14:val="tx1"/>
                  </w14:solidFill>
                </w14:textFill>
              </w:rPr>
              <w:t>：总次数≥</w:t>
            </w:r>
            <w:r>
              <w:rPr>
                <w:rFonts w:ascii="仿宋" w:hAnsi="仿宋" w:eastAsia="仿宋"/>
                <w:color w:val="000000" w:themeColor="text1"/>
                <w:sz w:val="24"/>
                <w14:textFill>
                  <w14:solidFill>
                    <w14:schemeClr w14:val="tx1"/>
                  </w14:solidFill>
                </w14:textFill>
              </w:rPr>
              <w:t>30次，总参与人次≥1000人；</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互动与讨论</w:t>
            </w:r>
            <w:r>
              <w:rPr>
                <w:rFonts w:hint="eastAsia" w:ascii="仿宋" w:hAnsi="仿宋" w:eastAsia="仿宋"/>
                <w:color w:val="000000" w:themeColor="text1"/>
                <w:sz w:val="24"/>
                <w14:textFill>
                  <w14:solidFill>
                    <w14:schemeClr w14:val="tx1"/>
                  </w14:solidFill>
                </w14:textFill>
              </w:rPr>
              <w:t>：教师发帖数≥</w:t>
            </w:r>
            <w:r>
              <w:rPr>
                <w:rFonts w:ascii="仿宋" w:hAnsi="仿宋" w:eastAsia="仿宋"/>
                <w:color w:val="000000" w:themeColor="text1"/>
                <w:sz w:val="24"/>
                <w14:textFill>
                  <w14:solidFill>
                    <w14:schemeClr w14:val="tx1"/>
                  </w14:solidFill>
                </w14:textFill>
              </w:rPr>
              <w:t>30帖，发帖总数≥100帖，总参与人次≥400人；</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b/>
                <w:color w:val="000000" w:themeColor="text1"/>
                <w:sz w:val="24"/>
                <w14:textFill>
                  <w14:solidFill>
                    <w14:schemeClr w14:val="tx1"/>
                  </w14:solidFill>
                </w14:textFill>
              </w:rPr>
              <w:t>考试</w:t>
            </w:r>
            <w:r>
              <w:rPr>
                <w:rFonts w:hint="eastAsia" w:ascii="仿宋" w:hAnsi="仿宋" w:eastAsia="仿宋"/>
                <w:color w:val="000000" w:themeColor="text1"/>
                <w:sz w:val="24"/>
                <w14:textFill>
                  <w14:solidFill>
                    <w14:schemeClr w14:val="tx1"/>
                  </w14:solidFill>
                </w14:textFill>
              </w:rPr>
              <w:t>：次数≥</w:t>
            </w:r>
            <w:r>
              <w:rPr>
                <w:rFonts w:ascii="仿宋" w:hAnsi="仿宋" w:eastAsia="仿宋"/>
                <w:color w:val="000000" w:themeColor="text1"/>
                <w:sz w:val="24"/>
                <w14:textFill>
                  <w14:solidFill>
                    <w14:schemeClr w14:val="tx1"/>
                  </w14:solidFill>
                </w14:textFill>
              </w:rPr>
              <w:t>1次，总参与人次≥200人。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1271" w:type="dxa"/>
            <w:vMerge w:val="continue"/>
          </w:tcPr>
          <w:p>
            <w:pPr>
              <w:adjustRightInd w:val="0"/>
              <w:snapToGrid w:val="0"/>
              <w:rPr>
                <w:rFonts w:ascii="仿宋" w:hAnsi="仿宋" w:eastAsia="仿宋"/>
                <w:b/>
                <w:color w:val="000000" w:themeColor="text1"/>
                <w:sz w:val="24"/>
                <w14:textFill>
                  <w14:solidFill>
                    <w14:schemeClr w14:val="tx1"/>
                  </w14:solidFill>
                </w14:textFill>
              </w:rPr>
            </w:pPr>
          </w:p>
        </w:tc>
        <w:tc>
          <w:tcPr>
            <w:tcW w:w="1276" w:type="dxa"/>
            <w:vAlign w:val="center"/>
          </w:tcPr>
          <w:p>
            <w:pPr>
              <w:adjustRightInd w:val="0"/>
              <w:snapToGrid w:val="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教学效果与影响</w:t>
            </w:r>
          </w:p>
        </w:tc>
        <w:tc>
          <w:tcPr>
            <w:tcW w:w="5660" w:type="dxa"/>
            <w:vAlign w:val="center"/>
          </w:tcPr>
          <w:p>
            <w:pPr>
              <w:adjustRightInd w:val="0"/>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课程共享范围广泛，应用模式多样，线上线下应用结合效果较好，能切实提高教学质量，在同类课程中具有一定的影响力。教学效果与影响应满足如下要求：</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1.原则上</w:t>
            </w:r>
            <w:r>
              <w:rPr>
                <w:rFonts w:hint="eastAsia" w:ascii="仿宋" w:hAnsi="仿宋" w:eastAsia="仿宋"/>
                <w:b/>
                <w:color w:val="000000" w:themeColor="text1"/>
                <w:sz w:val="24"/>
                <w14:textFill>
                  <w14:solidFill>
                    <w14:schemeClr w14:val="tx1"/>
                  </w14:solidFill>
                </w14:textFill>
              </w:rPr>
              <w:t>学习总人次</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1000人（多个教学周期累加</w:t>
            </w:r>
            <w:r>
              <w:rPr>
                <w:rFonts w:hint="eastAsia" w:ascii="仿宋" w:hAnsi="仿宋" w:eastAsia="仿宋"/>
                <w:color w:val="000000" w:themeColor="text1"/>
                <w:sz w:val="24"/>
                <w14:textFill>
                  <w14:solidFill>
                    <w14:schemeClr w14:val="tx1"/>
                  </w14:solidFill>
                </w14:textFill>
              </w:rPr>
              <w:t>，研究生课程可适当减少</w:t>
            </w:r>
            <w:r>
              <w:rPr>
                <w:rFonts w:ascii="仿宋" w:hAnsi="仿宋" w:eastAsia="仿宋"/>
                <w:color w:val="000000" w:themeColor="text1"/>
                <w:sz w:val="24"/>
                <w14:textFill>
                  <w14:solidFill>
                    <w14:schemeClr w14:val="tx1"/>
                  </w14:solidFill>
                </w14:textFill>
              </w:rPr>
              <w:t>）；</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2.课程应用模式多样，除在线学习外，还应用于翻转教学、SPOC教学等；</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3.课程共享范围广，除社会学习者外，在别的高校也获得应用。</w:t>
            </w:r>
          </w:p>
        </w:tc>
      </w:tr>
    </w:tbl>
    <w:p>
      <w:pPr>
        <w:widowControl/>
        <w:adjustRightInd w:val="0"/>
        <w:spacing w:line="440" w:lineRule="exact"/>
        <w:jc w:val="left"/>
        <w:rPr>
          <w:rFonts w:ascii="仿宋" w:hAnsi="仿宋" w:eastAsia="仿宋"/>
          <w:color w:val="000000" w:themeColor="text1"/>
          <w:kern w:val="0"/>
          <w:szCs w:val="36"/>
          <w14:textFill>
            <w14:solidFill>
              <w14:schemeClr w14:val="tx1"/>
            </w14:solidFill>
          </w14:textFill>
        </w:rPr>
      </w:pPr>
    </w:p>
    <w:p>
      <w:pPr>
        <w:pStyle w:val="4"/>
        <w:spacing w:before="435" w:beforeLines="100" w:after="0" w:line="560" w:lineRule="exact"/>
        <w:ind w:firstLine="723" w:firstLineChars="200"/>
        <w:rPr>
          <w:rFonts w:ascii="仿宋" w:hAnsi="仿宋" w:eastAsia="仿宋"/>
          <w:sz w:val="36"/>
          <w:szCs w:val="36"/>
        </w:rPr>
      </w:pPr>
      <w:bookmarkStart w:id="162" w:name="_Toc21339"/>
      <w:bookmarkStart w:id="163" w:name="_Toc86068887"/>
      <w:r>
        <w:rPr>
          <w:rFonts w:ascii="仿宋" w:hAnsi="仿宋" w:eastAsia="仿宋"/>
          <w:sz w:val="36"/>
          <w:szCs w:val="36"/>
        </w:rPr>
        <w:t>2-2</w:t>
      </w:r>
      <w:r>
        <w:rPr>
          <w:rFonts w:hint="eastAsia" w:ascii="仿宋" w:hAnsi="仿宋" w:eastAsia="仿宋"/>
          <w:sz w:val="36"/>
          <w:szCs w:val="36"/>
        </w:rPr>
        <w:t>线下课程</w:t>
      </w:r>
      <w:bookmarkEnd w:id="162"/>
      <w:bookmarkEnd w:id="163"/>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64" w:name="_Toc18799"/>
      <w:bookmarkStart w:id="165" w:name="_Toc24434"/>
      <w:r>
        <w:rPr>
          <w:rFonts w:hint="eastAsia" w:ascii="仿宋" w:hAnsi="仿宋" w:eastAsia="仿宋"/>
          <w:b/>
          <w:color w:val="000000" w:themeColor="text1"/>
          <w:kern w:val="0"/>
          <w:szCs w:val="36"/>
          <w14:textFill>
            <w14:solidFill>
              <w14:schemeClr w14:val="tx1"/>
            </w14:solidFill>
          </w14:textFill>
        </w:rPr>
        <w:t>一、建设目标</w:t>
      </w:r>
      <w:bookmarkEnd w:id="164"/>
      <w:bookmarkEnd w:id="165"/>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利用开放式课程教育平台优质课程资源及学校自建资源，通过校级网络教学平台及智慧教学工具，实施翻转课堂教学，促进教育教学观念转变，引领教学内容和教学方法改革，推动高等学校优质课程教学资源通过现代信息技术手段共建共享，提高人才培养质量，服务学习型社会建设。</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66" w:name="_Toc3065"/>
      <w:bookmarkStart w:id="167" w:name="_Toc3835"/>
      <w:r>
        <w:rPr>
          <w:rFonts w:hint="eastAsia" w:ascii="仿宋" w:hAnsi="仿宋" w:eastAsia="仿宋"/>
          <w:b/>
          <w:color w:val="000000" w:themeColor="text1"/>
          <w:kern w:val="0"/>
          <w:szCs w:val="36"/>
          <w14:textFill>
            <w14:solidFill>
              <w14:schemeClr w14:val="tx1"/>
            </w14:solidFill>
          </w14:textFill>
        </w:rPr>
        <w:t>二、建设</w:t>
      </w:r>
      <w:bookmarkEnd w:id="166"/>
      <w:bookmarkEnd w:id="167"/>
      <w:r>
        <w:rPr>
          <w:rFonts w:hint="eastAsia" w:ascii="仿宋" w:hAnsi="仿宋" w:eastAsia="仿宋"/>
          <w:b/>
          <w:color w:val="000000" w:themeColor="text1"/>
          <w:kern w:val="0"/>
          <w:szCs w:val="36"/>
          <w14:textFill>
            <w14:solidFill>
              <w14:schemeClr w14:val="tx1"/>
            </w14:solidFill>
          </w14:textFill>
        </w:rPr>
        <w:t>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课程</w:t>
      </w:r>
      <w:r>
        <w:rPr>
          <w:rFonts w:ascii="仿宋" w:hAnsi="仿宋" w:eastAsia="仿宋"/>
          <w:color w:val="000000" w:themeColor="text1"/>
          <w:kern w:val="0"/>
          <w:szCs w:val="36"/>
          <w14:textFill>
            <w14:solidFill>
              <w14:schemeClr w14:val="tx1"/>
            </w14:solidFill>
          </w14:textFill>
        </w:rPr>
        <w:t>资源。鼓励教师利用国家级、省级精品资源共享课程资源，鼓励高校和企业共同开发建设体现科技进步、社会生产与职业需求的微视频。依托网络教学平台，上传教学资源，包含课程简介、教师队伍、教学大纲、授课教案、作业习题、资料库等。</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2.平台数据。线上学习数据，包括学生利用网络教学平台学习各种课程相关资源数据。线下互动数据，利用智慧教学工具，记录课堂教学过程中互动教学数据，包括签到、讨论等。</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3.团队建设。团队应包括主讲</w:t>
      </w:r>
      <w:r>
        <w:rPr>
          <w:rFonts w:hint="eastAsia" w:ascii="仿宋" w:hAnsi="仿宋" w:eastAsia="仿宋"/>
          <w:color w:val="000000" w:themeColor="text1"/>
          <w:kern w:val="0"/>
          <w:szCs w:val="36"/>
          <w14:textFill>
            <w14:solidFill>
              <w14:schemeClr w14:val="tx1"/>
            </w14:solidFill>
          </w14:textFill>
        </w:rPr>
        <w:t>教师</w:t>
      </w:r>
      <w:r>
        <w:rPr>
          <w:rFonts w:ascii="仿宋" w:hAnsi="仿宋" w:eastAsia="仿宋"/>
          <w:color w:val="000000" w:themeColor="text1"/>
          <w:kern w:val="0"/>
          <w:szCs w:val="36"/>
          <w14:textFill>
            <w14:solidFill>
              <w14:schemeClr w14:val="tx1"/>
            </w14:solidFill>
          </w14:textFill>
        </w:rPr>
        <w:t>、在线教学人员，既确保课程学术性又考虑技术性，充分做好网络教学设计与在线教学过程的互动交流。</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68" w:name="_Toc10050"/>
      <w:bookmarkStart w:id="169" w:name="_Toc2254"/>
      <w:r>
        <w:rPr>
          <w:rFonts w:hint="eastAsia" w:ascii="仿宋" w:hAnsi="仿宋" w:eastAsia="仿宋"/>
          <w:b/>
          <w:color w:val="000000" w:themeColor="text1"/>
          <w:kern w:val="0"/>
          <w:szCs w:val="36"/>
          <w14:textFill>
            <w14:solidFill>
              <w14:schemeClr w14:val="tx1"/>
            </w14:solidFill>
          </w14:textFill>
        </w:rPr>
        <w:t>三、申报</w:t>
      </w:r>
      <w:bookmarkEnd w:id="168"/>
      <w:bookmarkEnd w:id="169"/>
      <w:r>
        <w:rPr>
          <w:rFonts w:hint="eastAsia" w:ascii="仿宋" w:hAnsi="仿宋" w:eastAsia="仿宋"/>
          <w:b/>
          <w:color w:val="000000" w:themeColor="text1"/>
          <w:kern w:val="0"/>
          <w:szCs w:val="36"/>
          <w14:textFill>
            <w14:solidFill>
              <w14:schemeClr w14:val="tx1"/>
            </w14:solidFill>
          </w14:textFill>
        </w:rPr>
        <w:t>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1.申报课程</w:t>
      </w:r>
      <w:r>
        <w:rPr>
          <w:rFonts w:hint="eastAsia" w:ascii="仿宋" w:hAnsi="仿宋" w:eastAsia="仿宋"/>
          <w:color w:val="000000" w:themeColor="text1"/>
          <w:kern w:val="0"/>
          <w:szCs w:val="36"/>
          <w14:textFill>
            <w14:solidFill>
              <w14:schemeClr w14:val="tx1"/>
            </w14:solidFill>
          </w14:textFill>
        </w:rPr>
        <w:t>应</w:t>
      </w:r>
      <w:r>
        <w:rPr>
          <w:rFonts w:ascii="仿宋" w:hAnsi="仿宋" w:eastAsia="仿宋"/>
          <w:color w:val="000000" w:themeColor="text1"/>
          <w:kern w:val="0"/>
          <w:szCs w:val="36"/>
          <w14:textFill>
            <w14:solidFill>
              <w14:schemeClr w14:val="tx1"/>
            </w14:solidFill>
          </w14:textFill>
        </w:rPr>
        <w:t>是普通高等学校课程</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原则上要求是公共基础课、专业基础课或专业核心课</w:t>
      </w:r>
      <w:r>
        <w:rPr>
          <w:rFonts w:hint="eastAsia" w:ascii="仿宋" w:hAnsi="仿宋" w:eastAsia="仿宋"/>
          <w:color w:val="000000" w:themeColor="text1"/>
          <w:kern w:val="0"/>
          <w:szCs w:val="36"/>
          <w14:textFill>
            <w14:solidFill>
              <w14:schemeClr w14:val="tx1"/>
            </w14:solidFill>
          </w14:textFill>
        </w:rPr>
        <w:t>；应</w:t>
      </w:r>
      <w:r>
        <w:rPr>
          <w:rFonts w:ascii="仿宋" w:hAnsi="仿宋" w:eastAsia="仿宋"/>
          <w:color w:val="000000" w:themeColor="text1"/>
          <w:kern w:val="0"/>
          <w:szCs w:val="36"/>
          <w14:textFill>
            <w14:solidFill>
              <w14:schemeClr w14:val="tx1"/>
            </w14:solidFill>
          </w14:textFill>
        </w:rPr>
        <w:t>在高</w:t>
      </w:r>
      <w:r>
        <w:rPr>
          <w:rFonts w:hint="eastAsia" w:ascii="仿宋" w:hAnsi="仿宋" w:eastAsia="仿宋"/>
          <w:color w:val="000000" w:themeColor="text1"/>
          <w:kern w:val="0"/>
          <w:szCs w:val="36"/>
          <w14:textFill>
            <w14:solidFill>
              <w14:schemeClr w14:val="tx1"/>
            </w14:solidFill>
          </w14:textFill>
        </w:rPr>
        <w:t>校已连续开设</w:t>
      </w:r>
      <w:r>
        <w:rPr>
          <w:rFonts w:ascii="仿宋" w:hAnsi="仿宋" w:eastAsia="仿宋"/>
          <w:color w:val="000000" w:themeColor="text1"/>
          <w:kern w:val="0"/>
          <w:szCs w:val="36"/>
          <w14:textFill>
            <w14:solidFill>
              <w14:schemeClr w14:val="tx1"/>
            </w14:solidFill>
          </w14:textFill>
        </w:rPr>
        <w:t>3个教学周期及以上；课程负责人为本校专职教师，具有博士学位或副教授及以上职称。</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2.课程申报负责人要承诺申报材料的真实性，引用的课程资源要注明来源，上网内容不侵犯他人的知识产权。</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3.学校制定线下课程工作量计算办法，明确对课程建设团队的教学工作量的认定。对没有配套政策支持的学校不予立项，申报时需要提供学校配套政策的相关文件。</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70" w:name="_Toc24441"/>
      <w:bookmarkStart w:id="171" w:name="_Toc24769"/>
      <w:r>
        <w:rPr>
          <w:rFonts w:hint="eastAsia" w:ascii="仿宋" w:hAnsi="仿宋" w:eastAsia="仿宋"/>
          <w:b/>
          <w:color w:val="000000" w:themeColor="text1"/>
          <w:kern w:val="0"/>
          <w:szCs w:val="36"/>
          <w14:textFill>
            <w14:solidFill>
              <w14:schemeClr w14:val="tx1"/>
            </w14:solidFill>
          </w14:textFill>
        </w:rPr>
        <w:t>四、验收标准</w:t>
      </w:r>
      <w:bookmarkEnd w:id="170"/>
      <w:bookmarkEnd w:id="171"/>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通过课程建设，在项目结项时需达到安徽省线下课程验收标准（见表</w:t>
      </w: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），或达到国家级线下一流本科课程标准。</w:t>
      </w:r>
    </w:p>
    <w:p>
      <w:pPr>
        <w:widowControl/>
        <w:adjustRightInd w:val="0"/>
        <w:snapToGrid w:val="0"/>
        <w:spacing w:line="360" w:lineRule="auto"/>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表</w:t>
      </w:r>
      <w:r>
        <w:rPr>
          <w:rFonts w:ascii="仿宋" w:hAnsi="仿宋" w:eastAsia="仿宋"/>
          <w:b/>
          <w:color w:val="000000" w:themeColor="text1"/>
          <w:kern w:val="0"/>
          <w:sz w:val="24"/>
          <w14:textFill>
            <w14:solidFill>
              <w14:schemeClr w14:val="tx1"/>
            </w14:solidFill>
          </w14:textFill>
        </w:rPr>
        <w:t>2:安徽省线下课程验收标准</w:t>
      </w:r>
    </w:p>
    <w:tbl>
      <w:tblPr>
        <w:tblStyle w:val="1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一级指标</w:t>
            </w:r>
          </w:p>
        </w:tc>
        <w:tc>
          <w:tcPr>
            <w:tcW w:w="1418" w:type="dxa"/>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二级指标</w:t>
            </w:r>
          </w:p>
        </w:tc>
        <w:tc>
          <w:tcPr>
            <w:tcW w:w="5953" w:type="dxa"/>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71" w:type="dxa"/>
            <w:vMerge w:val="restart"/>
            <w:vAlign w:val="center"/>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课程建设</w:t>
            </w:r>
          </w:p>
        </w:tc>
        <w:tc>
          <w:tcPr>
            <w:tcW w:w="1418" w:type="dxa"/>
            <w:vAlign w:val="center"/>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非视频资源</w:t>
            </w:r>
          </w:p>
        </w:tc>
        <w:tc>
          <w:tcPr>
            <w:tcW w:w="5953" w:type="dxa"/>
            <w:vAlign w:val="center"/>
          </w:tcPr>
          <w:p>
            <w:pPr>
              <w:adjustRightInd w:val="0"/>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网络平台需有完整教学资料，含课程介绍、课程公告、教学大纲、模块描述、课件、参考资料、讨论、测试、作业、考试等；课程拓展资源，每学分不低于</w:t>
            </w:r>
            <w:r>
              <w:rPr>
                <w:rFonts w:ascii="仿宋" w:hAnsi="仿宋" w:eastAsia="仿宋"/>
                <w:color w:val="000000" w:themeColor="text1"/>
                <w:sz w:val="24"/>
                <w14:textFill>
                  <w14:solidFill>
                    <w14:schemeClr w14:val="tx1"/>
                  </w14:solidFill>
                </w14:textFill>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adjustRightInd w:val="0"/>
              <w:snapToGrid w:val="0"/>
              <w:jc w:val="center"/>
              <w:rPr>
                <w:rFonts w:ascii="仿宋" w:hAnsi="仿宋" w:eastAsia="仿宋"/>
                <w:color w:val="000000" w:themeColor="text1"/>
                <w:sz w:val="24"/>
                <w14:textFill>
                  <w14:solidFill>
                    <w14:schemeClr w14:val="tx1"/>
                  </w14:solidFill>
                </w14:textFill>
              </w:rPr>
            </w:pPr>
          </w:p>
        </w:tc>
        <w:tc>
          <w:tcPr>
            <w:tcW w:w="1418" w:type="dxa"/>
            <w:vAlign w:val="center"/>
          </w:tcPr>
          <w:p>
            <w:pPr>
              <w:adjustRightInd w:val="0"/>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视频资源</w:t>
            </w:r>
          </w:p>
        </w:tc>
        <w:tc>
          <w:tcPr>
            <w:tcW w:w="5953" w:type="dxa"/>
            <w:vAlign w:val="center"/>
          </w:tcPr>
          <w:p>
            <w:pPr>
              <w:adjustRightInd w:val="0"/>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利用国家级、省级精品课程或自建网络资源，利用网络教学平台，每学分需提供不低于</w:t>
            </w:r>
            <w:r>
              <w:rPr>
                <w:rFonts w:ascii="仿宋" w:hAnsi="仿宋" w:eastAsia="仿宋"/>
                <w:color w:val="000000" w:themeColor="text1"/>
                <w:sz w:val="24"/>
                <w14:textFill>
                  <w14:solidFill>
                    <w14:schemeClr w14:val="tx1"/>
                  </w14:solidFill>
                </w14:textFill>
              </w:rPr>
              <w:t>80分钟的视频学习量，供学生自主学习，能通过网络平台检测每位学生学习量及学习效果，并在课堂教学中对学生自主学习部分进行检测。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课程应用</w:t>
            </w:r>
          </w:p>
        </w:tc>
        <w:tc>
          <w:tcPr>
            <w:tcW w:w="1418" w:type="dxa"/>
            <w:vAlign w:val="center"/>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运行平台及周期</w:t>
            </w:r>
          </w:p>
        </w:tc>
        <w:tc>
          <w:tcPr>
            <w:tcW w:w="5953" w:type="dxa"/>
            <w:vAlign w:val="center"/>
          </w:tcPr>
          <w:p>
            <w:pPr>
              <w:adjustRightInd w:val="0"/>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至少在校内网络平台运行2学期。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adjustRightInd w:val="0"/>
              <w:snapToGrid w:val="0"/>
              <w:jc w:val="center"/>
              <w:rPr>
                <w:rFonts w:ascii="仿宋" w:hAnsi="仿宋" w:eastAsia="仿宋"/>
                <w:b/>
                <w:color w:val="000000" w:themeColor="text1"/>
                <w:sz w:val="24"/>
                <w14:textFill>
                  <w14:solidFill>
                    <w14:schemeClr w14:val="tx1"/>
                  </w14:solidFill>
                </w14:textFill>
              </w:rPr>
            </w:pPr>
          </w:p>
        </w:tc>
        <w:tc>
          <w:tcPr>
            <w:tcW w:w="1418" w:type="dxa"/>
            <w:vMerge w:val="restart"/>
            <w:vAlign w:val="center"/>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教学时间安排</w:t>
            </w:r>
          </w:p>
        </w:tc>
        <w:tc>
          <w:tcPr>
            <w:tcW w:w="5953" w:type="dxa"/>
            <w:vAlign w:val="center"/>
          </w:tcPr>
          <w:p>
            <w:pPr>
              <w:adjustRightInd w:val="0"/>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每学分对应的教学时间与学生自主学习时间的比例小于</w:t>
            </w:r>
            <w:r>
              <w:rPr>
                <w:rFonts w:ascii="仿宋" w:hAnsi="仿宋" w:eastAsia="仿宋"/>
                <w:color w:val="000000" w:themeColor="text1"/>
                <w:sz w:val="24"/>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adjustRightInd w:val="0"/>
              <w:snapToGrid w:val="0"/>
              <w:jc w:val="center"/>
              <w:rPr>
                <w:rFonts w:ascii="仿宋" w:hAnsi="仿宋" w:eastAsia="仿宋"/>
                <w:b/>
                <w:color w:val="000000" w:themeColor="text1"/>
                <w:sz w:val="24"/>
                <w14:textFill>
                  <w14:solidFill>
                    <w14:schemeClr w14:val="tx1"/>
                  </w14:solidFill>
                </w14:textFill>
              </w:rPr>
            </w:pPr>
          </w:p>
        </w:tc>
        <w:tc>
          <w:tcPr>
            <w:tcW w:w="1418" w:type="dxa"/>
            <w:vMerge w:val="continue"/>
            <w:vAlign w:val="center"/>
          </w:tcPr>
          <w:p>
            <w:pPr>
              <w:adjustRightInd w:val="0"/>
              <w:snapToGrid w:val="0"/>
              <w:jc w:val="center"/>
              <w:rPr>
                <w:rFonts w:ascii="仿宋" w:hAnsi="仿宋" w:eastAsia="仿宋"/>
                <w:b/>
                <w:color w:val="000000" w:themeColor="text1"/>
                <w:sz w:val="24"/>
                <w14:textFill>
                  <w14:solidFill>
                    <w14:schemeClr w14:val="tx1"/>
                  </w14:solidFill>
                </w14:textFill>
              </w:rPr>
            </w:pPr>
          </w:p>
        </w:tc>
        <w:tc>
          <w:tcPr>
            <w:tcW w:w="5953" w:type="dxa"/>
            <w:vAlign w:val="center"/>
          </w:tcPr>
          <w:p>
            <w:pPr>
              <w:adjustRightInd w:val="0"/>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不减少大纲知识展示量的基础上，增强课堂中与学生的交互性，在技术支持协作下，通过多种方式，每节课不低于</w:t>
            </w:r>
            <w:r>
              <w:rPr>
                <w:rFonts w:ascii="仿宋" w:hAnsi="仿宋" w:eastAsia="仿宋"/>
                <w:color w:val="000000" w:themeColor="text1"/>
                <w:sz w:val="24"/>
                <w14:textFill>
                  <w14:solidFill>
                    <w14:schemeClr w14:val="tx1"/>
                  </w14:solidFill>
                </w14:textFill>
              </w:rPr>
              <w:t>10分钟互动时间，提高学生对知识的理解程度。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adjustRightInd w:val="0"/>
              <w:snapToGrid w:val="0"/>
              <w:jc w:val="center"/>
              <w:rPr>
                <w:rFonts w:ascii="仿宋" w:hAnsi="仿宋" w:eastAsia="仿宋"/>
                <w:b/>
                <w:color w:val="000000" w:themeColor="text1"/>
                <w:sz w:val="24"/>
                <w14:textFill>
                  <w14:solidFill>
                    <w14:schemeClr w14:val="tx1"/>
                  </w14:solidFill>
                </w14:textFill>
              </w:rPr>
            </w:pPr>
          </w:p>
        </w:tc>
        <w:tc>
          <w:tcPr>
            <w:tcW w:w="1418" w:type="dxa"/>
            <w:vAlign w:val="center"/>
          </w:tcPr>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教学活动与</w:t>
            </w:r>
          </w:p>
          <w:p>
            <w:pPr>
              <w:adjustRightInd w:val="0"/>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学习指导</w:t>
            </w:r>
          </w:p>
        </w:tc>
        <w:tc>
          <w:tcPr>
            <w:tcW w:w="5953" w:type="dxa"/>
            <w:vAlign w:val="center"/>
          </w:tcPr>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1.线上线下指导相结合，依托网络平台，完成线上指导；充分发挥学生自主学习，与自我解决的能力，线上鼓励学生之间互相解决问题，线下指导每学分不低于1学时。</w:t>
            </w:r>
          </w:p>
          <w:p>
            <w:pPr>
              <w:adjustRightInd w:val="0"/>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2.互动与讨论：教师发帖数≥20次，发帖总数≥100次，学生参与率≥98%。</w:t>
            </w:r>
          </w:p>
        </w:tc>
      </w:tr>
    </w:tbl>
    <w:p>
      <w:pPr>
        <w:pStyle w:val="4"/>
        <w:spacing w:before="435" w:beforeLines="100" w:after="0" w:line="560" w:lineRule="exact"/>
        <w:ind w:firstLine="723" w:firstLineChars="200"/>
        <w:rPr>
          <w:rFonts w:ascii="仿宋" w:hAnsi="仿宋" w:eastAsia="仿宋"/>
          <w:sz w:val="36"/>
          <w:szCs w:val="36"/>
        </w:rPr>
      </w:pPr>
      <w:bookmarkStart w:id="172" w:name="_Toc3711"/>
      <w:bookmarkStart w:id="173" w:name="_Toc86068888"/>
      <w:r>
        <w:rPr>
          <w:rFonts w:ascii="仿宋" w:hAnsi="仿宋" w:eastAsia="仿宋"/>
          <w:sz w:val="36"/>
          <w:szCs w:val="36"/>
        </w:rPr>
        <w:t>2-3</w:t>
      </w:r>
      <w:r>
        <w:rPr>
          <w:rFonts w:hint="eastAsia" w:ascii="仿宋" w:hAnsi="仿宋" w:eastAsia="仿宋"/>
          <w:sz w:val="36"/>
          <w:szCs w:val="36"/>
        </w:rPr>
        <w:t>线上线下混合式课程</w:t>
      </w:r>
      <w:bookmarkEnd w:id="172"/>
      <w:bookmarkEnd w:id="173"/>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74" w:name="_Toc16820"/>
      <w:bookmarkStart w:id="175" w:name="_Toc2284"/>
      <w:r>
        <w:rPr>
          <w:rFonts w:hint="eastAsia" w:ascii="仿宋" w:hAnsi="仿宋" w:eastAsia="仿宋"/>
          <w:b/>
          <w:color w:val="000000" w:themeColor="text1"/>
          <w:kern w:val="0"/>
          <w:szCs w:val="36"/>
          <w14:textFill>
            <w14:solidFill>
              <w14:schemeClr w14:val="tx1"/>
            </w14:solidFill>
          </w14:textFill>
        </w:rPr>
        <w:t>一、建设目标</w:t>
      </w:r>
      <w:bookmarkEnd w:id="174"/>
      <w:bookmarkEnd w:id="175"/>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基于慕课、专属在线课程（</w:t>
      </w:r>
      <w:r>
        <w:rPr>
          <w:rFonts w:ascii="仿宋" w:hAnsi="仿宋" w:eastAsia="仿宋"/>
          <w:color w:val="000000" w:themeColor="text1"/>
          <w:kern w:val="0"/>
          <w:szCs w:val="36"/>
          <w14:textFill>
            <w14:solidFill>
              <w14:schemeClr w14:val="tx1"/>
            </w14:solidFill>
          </w14:textFill>
        </w:rPr>
        <w:t>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尤其鼓励、倡导基于国家精品在线开放课程应用的线上线下混合式优质课程申报。</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76" w:name="_Toc31734"/>
      <w:bookmarkStart w:id="177" w:name="_Toc18329"/>
      <w:r>
        <w:rPr>
          <w:rFonts w:hint="eastAsia" w:ascii="仿宋" w:hAnsi="仿宋" w:eastAsia="仿宋"/>
          <w:b/>
          <w:color w:val="000000" w:themeColor="text1"/>
          <w:kern w:val="0"/>
          <w:szCs w:val="36"/>
          <w14:textFill>
            <w14:solidFill>
              <w14:schemeClr w14:val="tx1"/>
            </w14:solidFill>
          </w14:textFill>
        </w:rPr>
        <w:t>二、建设</w:t>
      </w:r>
      <w:bookmarkEnd w:id="176"/>
      <w:bookmarkEnd w:id="177"/>
      <w:r>
        <w:rPr>
          <w:rFonts w:hint="eastAsia" w:ascii="仿宋" w:hAnsi="仿宋" w:eastAsia="仿宋"/>
          <w:b/>
          <w:color w:val="000000" w:themeColor="text1"/>
          <w:kern w:val="0"/>
          <w:szCs w:val="36"/>
          <w14:textFill>
            <w14:solidFill>
              <w14:schemeClr w14:val="tx1"/>
            </w14:solidFill>
          </w14:textFill>
        </w:rPr>
        <w:t>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1.教学理念先进。坚持立德树人，体现以学生发展为中心，致力于开启学生内在潜力和学习动力，注重学生德智体美劳全面发展。</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教学成果显著。教学改革意识强烈，人员结构及任务分工合理。主讲教师具备良好的师德师风，具有丰富的教学经验、较高学术造诣，积极投身教学改革，教学能力强，能够运用新技术提高教学效率、提升教学质量。</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3.课程目标有效支撑培养目标达成。课程目标符合学校办学定位和人才培养目标，注重知识、能力、素质培养。</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4.教学设计科学合理。围绕目标达成、教学内容、组织实施和多元评价需求进行整体规划，教学策略、教学方法、教学过程、教学评价等设计合理。</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6.教学组织与实施突出学生中心地位。根据学生认知规律和接受特点，创新教与学模式，因材施教，促进师生之间、学生之间的交流互动、资源共享、知识生成，教学反馈及时，教学效果显著。</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7.课程管理与评价科学且可测量。教师备课要求明确，学生学习管理严格。针对教学目标、教学内容、教学组织等采用多元化考核评价，过程可回溯，诊断改进积极有效。教学过程材料完整，可借鉴可监督。</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78" w:name="_Toc32204"/>
      <w:bookmarkStart w:id="179" w:name="_Toc3242"/>
      <w:r>
        <w:rPr>
          <w:rFonts w:hint="eastAsia" w:ascii="仿宋" w:hAnsi="仿宋" w:eastAsia="仿宋"/>
          <w:b/>
          <w:color w:val="000000" w:themeColor="text1"/>
          <w:kern w:val="0"/>
          <w:szCs w:val="36"/>
          <w14:textFill>
            <w14:solidFill>
              <w14:schemeClr w14:val="tx1"/>
            </w14:solidFill>
          </w14:textFill>
        </w:rPr>
        <w:t>三、申报</w:t>
      </w:r>
      <w:bookmarkEnd w:id="178"/>
      <w:bookmarkEnd w:id="179"/>
      <w:r>
        <w:rPr>
          <w:rFonts w:hint="eastAsia" w:ascii="仿宋" w:hAnsi="仿宋" w:eastAsia="仿宋"/>
          <w:b/>
          <w:color w:val="000000" w:themeColor="text1"/>
          <w:kern w:val="0"/>
          <w:szCs w:val="36"/>
          <w14:textFill>
            <w14:solidFill>
              <w14:schemeClr w14:val="tx1"/>
            </w14:solidFill>
          </w14:textFill>
        </w:rPr>
        <w:t>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已</w:t>
      </w:r>
      <w:r>
        <w:rPr>
          <w:rFonts w:ascii="仿宋" w:hAnsi="仿宋" w:eastAsia="仿宋"/>
          <w:color w:val="000000" w:themeColor="text1"/>
          <w:kern w:val="0"/>
          <w:szCs w:val="36"/>
          <w14:textFill>
            <w14:solidFill>
              <w14:schemeClr w14:val="tx1"/>
            </w14:solidFill>
          </w14:textFill>
        </w:rPr>
        <w:t>纳入普通高等学校人才培养方案且设置学分的课程，</w:t>
      </w:r>
      <w:r>
        <w:rPr>
          <w:rFonts w:hint="eastAsia" w:ascii="仿宋" w:hAnsi="仿宋" w:eastAsia="仿宋"/>
          <w:color w:val="000000" w:themeColor="text1"/>
          <w:kern w:val="0"/>
          <w:szCs w:val="36"/>
          <w14:textFill>
            <w14:solidFill>
              <w14:schemeClr w14:val="tx1"/>
            </w14:solidFill>
          </w14:textFill>
        </w:rPr>
        <w:t>应在高校已连续开设</w:t>
      </w: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个教学周期及以上</w:t>
      </w:r>
      <w:r>
        <w:rPr>
          <w:rFonts w:ascii="仿宋" w:hAnsi="仿宋" w:eastAsia="仿宋"/>
          <w:color w:val="000000" w:themeColor="text1"/>
          <w:kern w:val="0"/>
          <w:szCs w:val="36"/>
          <w14:textFill>
            <w14:solidFill>
              <w14:schemeClr w14:val="tx1"/>
            </w14:solidFill>
          </w14:textFill>
        </w:rPr>
        <w:t xml:space="preserve">取得一定实质性改革成效，均可推荐申报，包括思想政治理论课、公共基础课、专业基础课、专业课以及通识课等独立设置的本科理论课程、实验或社会实践课程等。 </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2.课程负责人为本校专职教师，具有博士学位或副教授及以上职称。</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四、验收标准</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通过课程建设，在项目结项时需达到安徽省线上线下混合式课程验收标准（见表</w:t>
      </w: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），或达到国家级线上线下混合式一流本科课程标准。</w:t>
      </w:r>
    </w:p>
    <w:p>
      <w:pPr>
        <w:widowControl/>
        <w:adjustRightInd w:val="0"/>
        <w:snapToGrid w:val="0"/>
        <w:spacing w:line="360" w:lineRule="auto"/>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表</w:t>
      </w:r>
      <w:r>
        <w:rPr>
          <w:rFonts w:ascii="仿宋" w:hAnsi="仿宋" w:eastAsia="仿宋"/>
          <w:b/>
          <w:color w:val="000000" w:themeColor="text1"/>
          <w:kern w:val="0"/>
          <w:sz w:val="24"/>
          <w14:textFill>
            <w14:solidFill>
              <w14:schemeClr w14:val="tx1"/>
            </w14:solidFill>
          </w14:textFill>
        </w:rPr>
        <w:t>3:</w:t>
      </w:r>
      <w:r>
        <w:rPr>
          <w:rFonts w:hint="eastAsia" w:ascii="仿宋" w:hAnsi="仿宋" w:eastAsia="仿宋"/>
          <w:b/>
          <w:color w:val="000000" w:themeColor="text1"/>
          <w:kern w:val="0"/>
          <w:sz w:val="24"/>
          <w14:textFill>
            <w14:solidFill>
              <w14:schemeClr w14:val="tx1"/>
            </w14:solidFill>
          </w14:textFill>
        </w:rPr>
        <w:t>安徽省线上线下混合式课程验收标准</w:t>
      </w:r>
    </w:p>
    <w:tbl>
      <w:tblPr>
        <w:tblStyle w:val="17"/>
        <w:tblW w:w="7448" w:type="dxa"/>
        <w:jc w:val="center"/>
        <w:shd w:val="clear" w:color="auto" w:fill="FFFFFF"/>
        <w:tblLayout w:type="autofit"/>
        <w:tblCellMar>
          <w:top w:w="0" w:type="dxa"/>
          <w:left w:w="0" w:type="dxa"/>
          <w:bottom w:w="0" w:type="dxa"/>
          <w:right w:w="0" w:type="dxa"/>
        </w:tblCellMar>
      </w:tblPr>
      <w:tblGrid>
        <w:gridCol w:w="1271"/>
        <w:gridCol w:w="6177"/>
      </w:tblGrid>
      <w:tr>
        <w:tblPrEx>
          <w:shd w:val="clear" w:color="auto" w:fill="FFFFFF"/>
          <w:tblCellMar>
            <w:top w:w="0" w:type="dxa"/>
            <w:left w:w="0" w:type="dxa"/>
            <w:bottom w:w="0" w:type="dxa"/>
            <w:right w:w="0" w:type="dxa"/>
          </w:tblCellMar>
        </w:tblPrEx>
        <w:trPr>
          <w:trHeight w:val="416"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widowControl/>
              <w:adjustRightInd w:val="0"/>
              <w:snapToGrid w:val="0"/>
              <w:jc w:val="center"/>
              <w:rPr>
                <w:rFonts w:ascii="仿宋" w:hAnsi="仿宋" w:eastAsia="仿宋" w:cs="微软雅黑"/>
                <w:b/>
                <w:sz w:val="24"/>
                <w:szCs w:val="18"/>
              </w:rPr>
            </w:pPr>
            <w:r>
              <w:rPr>
                <w:rFonts w:hint="eastAsia" w:ascii="仿宋" w:hAnsi="仿宋" w:eastAsia="仿宋" w:cs="微软雅黑"/>
                <w:b/>
                <w:color w:val="333333"/>
                <w:spacing w:val="5"/>
                <w:sz w:val="24"/>
                <w:szCs w:val="18"/>
              </w:rPr>
              <w:t>指</w:t>
            </w:r>
            <w:r>
              <w:rPr>
                <w:rFonts w:ascii="仿宋" w:hAnsi="仿宋" w:eastAsia="仿宋" w:cs="微软雅黑"/>
                <w:b/>
                <w:color w:val="333333"/>
                <w:spacing w:val="5"/>
                <w:sz w:val="24"/>
                <w:szCs w:val="18"/>
              </w:rPr>
              <w:t xml:space="preserve">  </w:t>
            </w:r>
            <w:r>
              <w:rPr>
                <w:rFonts w:hint="eastAsia" w:ascii="仿宋" w:hAnsi="仿宋" w:eastAsia="仿宋" w:cs="微软雅黑"/>
                <w:b/>
                <w:color w:val="333333"/>
                <w:spacing w:val="5"/>
                <w:sz w:val="24"/>
                <w:szCs w:val="18"/>
              </w:rPr>
              <w:t>标</w:t>
            </w:r>
          </w:p>
        </w:tc>
        <w:tc>
          <w:tcPr>
            <w:tcW w:w="6177"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jc w:val="center"/>
              <w:rPr>
                <w:rFonts w:ascii="仿宋" w:hAnsi="仿宋" w:eastAsia="仿宋" w:cs="微软雅黑"/>
                <w:b/>
                <w:sz w:val="24"/>
                <w:szCs w:val="18"/>
              </w:rPr>
            </w:pPr>
            <w:r>
              <w:rPr>
                <w:rFonts w:hint="eastAsia" w:ascii="仿宋" w:hAnsi="仿宋" w:eastAsia="仿宋" w:cs="微软雅黑"/>
                <w:b/>
                <w:color w:val="333333"/>
                <w:spacing w:val="5"/>
                <w:sz w:val="24"/>
                <w:szCs w:val="18"/>
              </w:rPr>
              <w:t>观测点及描述</w:t>
            </w:r>
          </w:p>
        </w:tc>
      </w:tr>
      <w:tr>
        <w:tblPrEx>
          <w:shd w:val="clear" w:color="auto" w:fill="FFFFFF"/>
          <w:tblCellMar>
            <w:top w:w="0" w:type="dxa"/>
            <w:left w:w="0" w:type="dxa"/>
            <w:bottom w:w="0" w:type="dxa"/>
            <w:right w:w="0" w:type="dxa"/>
          </w:tblCellMar>
        </w:tblPrEx>
        <w:trPr>
          <w:trHeight w:val="422" w:hRule="atLeast"/>
          <w:jc w:val="center"/>
        </w:trPr>
        <w:tc>
          <w:tcPr>
            <w:tcW w:w="1271"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jc w:val="center"/>
              <w:rPr>
                <w:rFonts w:ascii="仿宋" w:hAnsi="仿宋" w:eastAsia="仿宋" w:cs="微软雅黑"/>
                <w:b/>
                <w:sz w:val="24"/>
                <w:szCs w:val="18"/>
              </w:rPr>
            </w:pPr>
            <w:r>
              <w:rPr>
                <w:rFonts w:hint="eastAsia" w:ascii="仿宋" w:hAnsi="仿宋" w:eastAsia="仿宋" w:cs="微软雅黑"/>
                <w:b/>
                <w:color w:val="333333"/>
                <w:spacing w:val="5"/>
                <w:sz w:val="24"/>
                <w:szCs w:val="18"/>
              </w:rPr>
              <w:t>课程目标符合新时代人才培养要求</w:t>
            </w: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符合学校办学定位和人才培养目标，坚持立德树人。</w:t>
            </w:r>
          </w:p>
        </w:tc>
      </w:tr>
      <w:tr>
        <w:tblPrEx>
          <w:shd w:val="clear" w:color="auto" w:fill="FFFFFF"/>
          <w:tblCellMar>
            <w:top w:w="0" w:type="dxa"/>
            <w:left w:w="0" w:type="dxa"/>
            <w:bottom w:w="0" w:type="dxa"/>
            <w:right w:w="0" w:type="dxa"/>
          </w:tblCellMar>
        </w:tblPrEx>
        <w:trPr>
          <w:trHeight w:val="1041" w:hRule="atLeast"/>
          <w:jc w:val="center"/>
        </w:trPr>
        <w:tc>
          <w:tcPr>
            <w:tcW w:w="1271"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rPr>
                <w:rFonts w:ascii="仿宋" w:hAnsi="仿宋" w:eastAsia="仿宋"/>
                <w:b/>
                <w:color w:val="333333"/>
                <w:spacing w:val="5"/>
                <w:sz w:val="24"/>
              </w:rPr>
            </w:pP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坚持知识、能力、素质有机融合，注重提升课程的高阶性、突出课程的创新性、增加课程的挑战度，契合学生解决复杂问题等综合能力养成要求。</w:t>
            </w:r>
          </w:p>
        </w:tc>
      </w:tr>
      <w:tr>
        <w:tblPrEx>
          <w:shd w:val="clear" w:color="auto" w:fill="FFFFFF"/>
          <w:tblCellMar>
            <w:top w:w="0" w:type="dxa"/>
            <w:left w:w="0" w:type="dxa"/>
            <w:bottom w:w="0" w:type="dxa"/>
            <w:right w:w="0" w:type="dxa"/>
          </w:tblCellMar>
        </w:tblPrEx>
        <w:trPr>
          <w:jc w:val="center"/>
        </w:trPr>
        <w:tc>
          <w:tcPr>
            <w:tcW w:w="1271"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rPr>
                <w:rFonts w:ascii="仿宋" w:hAnsi="仿宋" w:eastAsia="仿宋"/>
                <w:b/>
                <w:color w:val="333333"/>
                <w:spacing w:val="5"/>
                <w:sz w:val="24"/>
              </w:rPr>
            </w:pP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目标描述准确具体，对应国家、行业、专业需求，符合培养规律，符合校情、学情，达成路径清晰，便于考核评价。</w:t>
            </w:r>
          </w:p>
        </w:tc>
      </w:tr>
      <w:tr>
        <w:tblPrEx>
          <w:shd w:val="clear" w:color="auto" w:fill="FFFFFF"/>
          <w:tblCellMar>
            <w:top w:w="0" w:type="dxa"/>
            <w:left w:w="0" w:type="dxa"/>
            <w:bottom w:w="0" w:type="dxa"/>
            <w:right w:w="0" w:type="dxa"/>
          </w:tblCellMar>
        </w:tblPrEx>
        <w:trPr>
          <w:jc w:val="center"/>
        </w:trPr>
        <w:tc>
          <w:tcPr>
            <w:tcW w:w="1271"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jc w:val="center"/>
              <w:rPr>
                <w:rFonts w:ascii="仿宋" w:hAnsi="仿宋" w:eastAsia="仿宋" w:cs="微软雅黑"/>
                <w:b/>
                <w:sz w:val="24"/>
                <w:szCs w:val="18"/>
              </w:rPr>
            </w:pPr>
            <w:r>
              <w:rPr>
                <w:rFonts w:hint="eastAsia" w:ascii="仿宋" w:hAnsi="仿宋" w:eastAsia="仿宋" w:cs="微软雅黑"/>
                <w:b/>
                <w:color w:val="333333"/>
                <w:spacing w:val="5"/>
                <w:sz w:val="24"/>
                <w:szCs w:val="18"/>
              </w:rPr>
              <w:t>授课教师（团队）切实投入教学改革</w:t>
            </w: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秉持学生中心、产出导向、持续改进的理念。</w:t>
            </w:r>
          </w:p>
        </w:tc>
      </w:tr>
      <w:tr>
        <w:tblPrEx>
          <w:shd w:val="clear" w:color="auto" w:fill="FFFFFF"/>
        </w:tblPrEx>
        <w:trPr>
          <w:jc w:val="center"/>
        </w:trPr>
        <w:tc>
          <w:tcPr>
            <w:tcW w:w="1271"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rPr>
                <w:rFonts w:ascii="仿宋" w:hAnsi="仿宋" w:eastAsia="仿宋"/>
                <w:b/>
                <w:color w:val="333333"/>
                <w:spacing w:val="5"/>
                <w:sz w:val="24"/>
              </w:rPr>
            </w:pP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教学理念融入教学设计，围绕目标达成、教学内容、组织实施和多元评价需求进行整体规划，教学策略、教学方法教学过程、教学评价等设计合理。</w:t>
            </w:r>
          </w:p>
        </w:tc>
      </w:tr>
      <w:tr>
        <w:tblPrEx>
          <w:shd w:val="clear" w:color="auto" w:fill="FFFFFF"/>
          <w:tblCellMar>
            <w:top w:w="0" w:type="dxa"/>
            <w:left w:w="0" w:type="dxa"/>
            <w:bottom w:w="0" w:type="dxa"/>
            <w:right w:w="0" w:type="dxa"/>
          </w:tblCellMar>
        </w:tblPrEx>
        <w:trPr>
          <w:jc w:val="center"/>
        </w:trPr>
        <w:tc>
          <w:tcPr>
            <w:tcW w:w="1271"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rPr>
                <w:rFonts w:ascii="仿宋" w:hAnsi="仿宋" w:eastAsia="仿宋"/>
                <w:b/>
                <w:color w:val="333333"/>
                <w:spacing w:val="5"/>
                <w:sz w:val="24"/>
              </w:rPr>
            </w:pP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教学改革意识强烈，能够主动运用新技术，创新教学方法提高教学效率、提升教学质量，教学能力有显著提升。</w:t>
            </w:r>
          </w:p>
        </w:tc>
      </w:tr>
      <w:tr>
        <w:tblPrEx>
          <w:shd w:val="clear" w:color="auto" w:fill="FFFFFF"/>
          <w:tblCellMar>
            <w:top w:w="0" w:type="dxa"/>
            <w:left w:w="0" w:type="dxa"/>
            <w:bottom w:w="0" w:type="dxa"/>
            <w:right w:w="0" w:type="dxa"/>
          </w:tblCellMar>
        </w:tblPrEx>
        <w:trPr>
          <w:jc w:val="center"/>
        </w:trPr>
        <w:tc>
          <w:tcPr>
            <w:tcW w:w="1271"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jc w:val="center"/>
              <w:rPr>
                <w:rFonts w:ascii="仿宋" w:hAnsi="仿宋" w:eastAsia="仿宋" w:cs="微软雅黑"/>
                <w:b/>
                <w:sz w:val="24"/>
                <w:szCs w:val="18"/>
              </w:rPr>
            </w:pPr>
            <w:r>
              <w:rPr>
                <w:rFonts w:hint="eastAsia" w:ascii="仿宋" w:hAnsi="仿宋" w:eastAsia="仿宋" w:cs="微软雅黑"/>
                <w:b/>
                <w:color w:val="333333"/>
                <w:spacing w:val="5"/>
                <w:sz w:val="24"/>
                <w:szCs w:val="18"/>
              </w:rPr>
              <w:t>课程内容与时俱进</w:t>
            </w: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落实课程思政建设要求，通过专业知识教育与思想政治教育的紧密融合，将价值塑造、知识传授和能力培养三者融为一体。</w:t>
            </w:r>
          </w:p>
        </w:tc>
      </w:tr>
      <w:tr>
        <w:tblPrEx>
          <w:shd w:val="clear" w:color="auto" w:fill="FFFFFF"/>
          <w:tblCellMar>
            <w:top w:w="0" w:type="dxa"/>
            <w:left w:w="0" w:type="dxa"/>
            <w:bottom w:w="0" w:type="dxa"/>
            <w:right w:w="0" w:type="dxa"/>
          </w:tblCellMar>
        </w:tblPrEx>
        <w:trPr>
          <w:jc w:val="center"/>
        </w:trPr>
        <w:tc>
          <w:tcPr>
            <w:tcW w:w="1271"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rPr>
                <w:rFonts w:ascii="仿宋" w:hAnsi="仿宋" w:eastAsia="仿宋"/>
                <w:b/>
                <w:color w:val="333333"/>
                <w:spacing w:val="5"/>
                <w:sz w:val="24"/>
              </w:rPr>
            </w:pP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体现前沿性与时代性要求，反映学科专业、行业先进的核心理论和成果，聚焦新工科、新医科、新农科、新文科建设，</w:t>
            </w:r>
            <w:r>
              <w:rPr>
                <w:rFonts w:hint="eastAsia" w:ascii="Calibri" w:hAnsi="Calibri" w:eastAsia="仿宋" w:cs="Calibri"/>
                <w:color w:val="333333"/>
                <w:spacing w:val="5"/>
                <w:sz w:val="24"/>
                <w:szCs w:val="18"/>
              </w:rPr>
              <w:t> </w:t>
            </w:r>
            <w:r>
              <w:rPr>
                <w:rFonts w:hint="eastAsia" w:ascii="仿宋" w:hAnsi="仿宋" w:eastAsia="仿宋" w:cs="微软雅黑"/>
                <w:color w:val="333333"/>
                <w:spacing w:val="5"/>
                <w:sz w:val="24"/>
                <w:szCs w:val="18"/>
              </w:rPr>
              <w:t>增加体现多学科思维融合、产业技术与学科理论融合、跨专业能力融合、多学科项目实践融合内容。</w:t>
            </w:r>
          </w:p>
        </w:tc>
      </w:tr>
      <w:tr>
        <w:tblPrEx>
          <w:shd w:val="clear" w:color="auto" w:fill="FFFFFF"/>
          <w:tblCellMar>
            <w:top w:w="0" w:type="dxa"/>
            <w:left w:w="0" w:type="dxa"/>
            <w:bottom w:w="0" w:type="dxa"/>
            <w:right w:w="0" w:type="dxa"/>
          </w:tblCellMar>
        </w:tblPrEx>
        <w:trPr>
          <w:jc w:val="center"/>
        </w:trPr>
        <w:tc>
          <w:tcPr>
            <w:tcW w:w="1271"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rPr>
                <w:rFonts w:ascii="仿宋" w:hAnsi="仿宋" w:eastAsia="仿宋"/>
                <w:b/>
                <w:color w:val="333333"/>
                <w:spacing w:val="5"/>
                <w:sz w:val="24"/>
              </w:rPr>
            </w:pP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保障教学资源的优质性与适用性，优先选择国家级和省级精品在线开放课程等高质量在线课程资源，结合本校实际对课程内容进行优化，线上、线下内容互补，充分体现混合式优势。</w:t>
            </w:r>
          </w:p>
        </w:tc>
      </w:tr>
      <w:tr>
        <w:tblPrEx>
          <w:shd w:val="clear" w:color="auto" w:fill="FFFFFF"/>
          <w:tblCellMar>
            <w:top w:w="0" w:type="dxa"/>
            <w:left w:w="0" w:type="dxa"/>
            <w:bottom w:w="0" w:type="dxa"/>
            <w:right w:w="0" w:type="dxa"/>
          </w:tblCellMar>
        </w:tblPrEx>
        <w:trPr>
          <w:jc w:val="center"/>
        </w:trPr>
        <w:tc>
          <w:tcPr>
            <w:tcW w:w="1271"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jc w:val="center"/>
              <w:rPr>
                <w:rFonts w:ascii="仿宋" w:hAnsi="仿宋" w:eastAsia="仿宋" w:cs="微软雅黑"/>
                <w:b/>
                <w:sz w:val="24"/>
                <w:szCs w:val="18"/>
              </w:rPr>
            </w:pPr>
            <w:r>
              <w:rPr>
                <w:rFonts w:hint="eastAsia" w:ascii="仿宋" w:hAnsi="仿宋" w:eastAsia="仿宋" w:cs="微软雅黑"/>
                <w:b/>
                <w:color w:val="333333"/>
                <w:spacing w:val="5"/>
                <w:sz w:val="24"/>
                <w:szCs w:val="18"/>
              </w:rPr>
              <w:t>教与学发生改变</w:t>
            </w:r>
            <w:r>
              <w:rPr>
                <w:rFonts w:hint="eastAsia" w:ascii="Calibri" w:hAnsi="Calibri" w:eastAsia="仿宋" w:cs="Calibri"/>
                <w:b/>
                <w:color w:val="333333"/>
                <w:spacing w:val="5"/>
                <w:sz w:val="24"/>
                <w:szCs w:val="18"/>
              </w:rPr>
              <w:t> </w:t>
            </w: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以教为中心向以学为中心转变，符合“安排</w:t>
            </w:r>
            <w:r>
              <w:rPr>
                <w:rFonts w:ascii="仿宋" w:hAnsi="仿宋" w:eastAsia="仿宋" w:cs="微软雅黑"/>
                <w:color w:val="333333"/>
                <w:spacing w:val="5"/>
                <w:sz w:val="24"/>
                <w:szCs w:val="18"/>
              </w:rPr>
              <w:t>20-50%的教学时间实施学生线上自主学习”基本要求，以提升教学效果为目的，因材施教，运用适当的数字化教学工具创新教学方式方法，有效开展线上与线下密切衔接的全过程教学活动。实施打破传统课堂“满堂灌”和沉默状态的方式方法，训练学生问题解决能力和审辩式思维能力</w:t>
            </w:r>
            <w:r>
              <w:rPr>
                <w:rFonts w:hint="eastAsia" w:ascii="仿宋" w:hAnsi="仿宋" w:eastAsia="仿宋"/>
                <w:color w:val="000000" w:themeColor="text1"/>
                <w:sz w:val="24"/>
                <w14:textFill>
                  <w14:solidFill>
                    <w14:schemeClr w14:val="tx1"/>
                  </w14:solidFill>
                </w14:textFill>
              </w:rPr>
              <w:t>。</w:t>
            </w:r>
          </w:p>
        </w:tc>
      </w:tr>
      <w:tr>
        <w:tblPrEx>
          <w:shd w:val="clear" w:color="auto" w:fill="FFFFFF"/>
          <w:tblCellMar>
            <w:top w:w="0" w:type="dxa"/>
            <w:left w:w="0" w:type="dxa"/>
            <w:bottom w:w="0" w:type="dxa"/>
            <w:right w:w="0" w:type="dxa"/>
          </w:tblCellMar>
        </w:tblPrEx>
        <w:trPr>
          <w:jc w:val="center"/>
        </w:trPr>
        <w:tc>
          <w:tcPr>
            <w:tcW w:w="1271"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rPr>
                <w:rFonts w:ascii="仿宋" w:hAnsi="仿宋" w:eastAsia="仿宋"/>
                <w:b/>
                <w:color w:val="333333"/>
                <w:spacing w:val="5"/>
                <w:sz w:val="24"/>
              </w:rPr>
            </w:pP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学生学习方式有显著变化，安排学生个别化学习与合作学习，强化课堂教学师生互动、生生互动环节，加强研究型、项目式学习。</w:t>
            </w:r>
          </w:p>
        </w:tc>
      </w:tr>
      <w:tr>
        <w:tblPrEx>
          <w:shd w:val="clear" w:color="auto" w:fill="FFFFFF"/>
          <w:tblCellMar>
            <w:top w:w="0" w:type="dxa"/>
            <w:left w:w="0" w:type="dxa"/>
            <w:bottom w:w="0" w:type="dxa"/>
            <w:right w:w="0" w:type="dxa"/>
          </w:tblCellMar>
        </w:tblPrEx>
        <w:trPr>
          <w:jc w:val="center"/>
        </w:trPr>
        <w:tc>
          <w:tcPr>
            <w:tcW w:w="1271"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jc w:val="center"/>
              <w:rPr>
                <w:rFonts w:ascii="仿宋" w:hAnsi="仿宋" w:eastAsia="仿宋" w:cs="微软雅黑"/>
                <w:b/>
                <w:sz w:val="24"/>
                <w:szCs w:val="18"/>
              </w:rPr>
            </w:pPr>
            <w:r>
              <w:rPr>
                <w:rFonts w:hint="eastAsia" w:ascii="仿宋" w:hAnsi="仿宋" w:eastAsia="仿宋" w:cs="微软雅黑"/>
                <w:b/>
                <w:color w:val="333333"/>
                <w:spacing w:val="5"/>
                <w:sz w:val="24"/>
                <w:szCs w:val="18"/>
              </w:rPr>
              <w:t>评价拓展深化</w:t>
            </w: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考核方式多元，丰富探究式、论文式、报告答辩式等作业评价方式，加强非标准化、综合性等评价，评价手段恰当必要，契合相对应的人才培养类型。</w:t>
            </w:r>
          </w:p>
        </w:tc>
      </w:tr>
      <w:tr>
        <w:tblPrEx>
          <w:shd w:val="clear" w:color="auto" w:fill="FFFFFF"/>
          <w:tblCellMar>
            <w:top w:w="0" w:type="dxa"/>
            <w:left w:w="0" w:type="dxa"/>
            <w:bottom w:w="0" w:type="dxa"/>
            <w:right w:w="0" w:type="dxa"/>
          </w:tblCellMar>
        </w:tblPrEx>
        <w:trPr>
          <w:jc w:val="center"/>
        </w:trPr>
        <w:tc>
          <w:tcPr>
            <w:tcW w:w="1271"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rPr>
                <w:rFonts w:ascii="仿宋" w:hAnsi="仿宋" w:eastAsia="仿宋"/>
                <w:b/>
                <w:color w:val="333333"/>
                <w:spacing w:val="5"/>
                <w:sz w:val="24"/>
              </w:rPr>
            </w:pP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bookmarkStart w:id="324" w:name="_GoBack"/>
            <w:r>
              <w:rPr>
                <w:rFonts w:hint="eastAsia" w:ascii="仿宋" w:hAnsi="仿宋" w:eastAsia="仿宋" w:cs="微软雅黑"/>
                <w:color w:val="333333"/>
                <w:spacing w:val="5"/>
                <w:sz w:val="24"/>
                <w:szCs w:val="18"/>
              </w:rPr>
              <w:t>考试考核评价严格，体现过程评价，注重学习效果评价。</w:t>
            </w:r>
            <w:bookmarkEnd w:id="324"/>
            <w:r>
              <w:rPr>
                <w:rFonts w:hint="eastAsia" w:ascii="仿宋" w:hAnsi="仿宋" w:eastAsia="仿宋" w:cs="微软雅黑"/>
                <w:color w:val="333333"/>
                <w:spacing w:val="5"/>
                <w:sz w:val="24"/>
                <w:szCs w:val="18"/>
              </w:rPr>
              <w:t>学生线上自主学习、作业和测试等评价与参加线下教学活动的评价连贯完整，过程可回溯，诊断改进积极有效。</w:t>
            </w:r>
          </w:p>
        </w:tc>
      </w:tr>
      <w:tr>
        <w:tblPrEx>
          <w:shd w:val="clear" w:color="auto" w:fill="FFFFFF"/>
          <w:tblCellMar>
            <w:top w:w="0" w:type="dxa"/>
            <w:left w:w="0" w:type="dxa"/>
            <w:bottom w:w="0" w:type="dxa"/>
            <w:right w:w="0" w:type="dxa"/>
          </w:tblCellMar>
        </w:tblPrEx>
        <w:trPr>
          <w:jc w:val="center"/>
        </w:trPr>
        <w:tc>
          <w:tcPr>
            <w:tcW w:w="1271"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jc w:val="center"/>
              <w:rPr>
                <w:rFonts w:ascii="仿宋" w:hAnsi="仿宋" w:eastAsia="仿宋" w:cs="微软雅黑"/>
                <w:b/>
                <w:sz w:val="24"/>
                <w:szCs w:val="18"/>
              </w:rPr>
            </w:pPr>
            <w:r>
              <w:rPr>
                <w:rFonts w:hint="eastAsia" w:ascii="仿宋" w:hAnsi="仿宋" w:eastAsia="仿宋" w:cs="微软雅黑"/>
                <w:b/>
                <w:color w:val="333333"/>
                <w:spacing w:val="5"/>
                <w:sz w:val="24"/>
                <w:szCs w:val="18"/>
              </w:rPr>
              <w:t>改革行之有效</w:t>
            </w: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学习效果提升，学生对课程的参与度、学习获得感、对教师教学以及课程的满意度有明显提高。</w:t>
            </w:r>
          </w:p>
        </w:tc>
      </w:tr>
      <w:tr>
        <w:tblPrEx>
          <w:shd w:val="clear" w:color="auto" w:fill="FFFFFF"/>
          <w:tblCellMar>
            <w:top w:w="0" w:type="dxa"/>
            <w:left w:w="0" w:type="dxa"/>
            <w:bottom w:w="0" w:type="dxa"/>
            <w:right w:w="0" w:type="dxa"/>
          </w:tblCellMar>
        </w:tblPrEx>
        <w:trPr>
          <w:jc w:val="center"/>
        </w:trPr>
        <w:tc>
          <w:tcPr>
            <w:tcW w:w="1271"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rPr>
                <w:rFonts w:ascii="仿宋" w:hAnsi="仿宋" w:eastAsia="仿宋"/>
                <w:color w:val="333333"/>
                <w:spacing w:val="5"/>
                <w:sz w:val="24"/>
              </w:rPr>
            </w:pP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改革迭代优化，有意识地收集数据开展教学反思、教学研究和教学改进。在多期混合式教学中进行迭代，不断优化教学的设计和实施。</w:t>
            </w:r>
          </w:p>
        </w:tc>
      </w:tr>
      <w:tr>
        <w:tblPrEx>
          <w:shd w:val="clear" w:color="auto" w:fill="FFFFFF"/>
          <w:tblCellMar>
            <w:top w:w="0" w:type="dxa"/>
            <w:left w:w="0" w:type="dxa"/>
            <w:bottom w:w="0" w:type="dxa"/>
            <w:right w:w="0" w:type="dxa"/>
          </w:tblCellMar>
        </w:tblPrEx>
        <w:trPr>
          <w:jc w:val="center"/>
        </w:trPr>
        <w:tc>
          <w:tcPr>
            <w:tcW w:w="1271"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rPr>
                <w:rFonts w:ascii="仿宋" w:hAnsi="仿宋" w:eastAsia="仿宋"/>
                <w:color w:val="333333"/>
                <w:spacing w:val="5"/>
                <w:sz w:val="24"/>
              </w:rPr>
            </w:pP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学校对线上线下混合式教学有合理的工作量计算机制、教学管理与质量监控机制等配套支持，并不断完善。</w:t>
            </w:r>
          </w:p>
        </w:tc>
      </w:tr>
      <w:tr>
        <w:tblPrEx>
          <w:shd w:val="clear" w:color="auto" w:fill="FFFFFF"/>
          <w:tblCellMar>
            <w:top w:w="0" w:type="dxa"/>
            <w:left w:w="0" w:type="dxa"/>
            <w:bottom w:w="0" w:type="dxa"/>
            <w:right w:w="0" w:type="dxa"/>
          </w:tblCellMar>
        </w:tblPrEx>
        <w:trPr>
          <w:jc w:val="center"/>
        </w:trPr>
        <w:tc>
          <w:tcPr>
            <w:tcW w:w="1271"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rPr>
                <w:rFonts w:ascii="仿宋" w:hAnsi="仿宋" w:eastAsia="仿宋"/>
                <w:color w:val="333333"/>
                <w:spacing w:val="5"/>
                <w:sz w:val="24"/>
              </w:rPr>
            </w:pPr>
          </w:p>
        </w:tc>
        <w:tc>
          <w:tcPr>
            <w:tcW w:w="6177" w:type="dxa"/>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adjustRightInd w:val="0"/>
              <w:snapToGrid w:val="0"/>
              <w:rPr>
                <w:rFonts w:ascii="仿宋" w:hAnsi="仿宋" w:eastAsia="仿宋" w:cs="微软雅黑"/>
                <w:sz w:val="24"/>
                <w:szCs w:val="18"/>
              </w:rPr>
            </w:pPr>
            <w:r>
              <w:rPr>
                <w:rFonts w:hint="eastAsia" w:ascii="仿宋" w:hAnsi="仿宋" w:eastAsia="仿宋" w:cs="微软雅黑"/>
                <w:color w:val="333333"/>
                <w:spacing w:val="5"/>
                <w:sz w:val="24"/>
                <w:szCs w:val="18"/>
              </w:rPr>
              <w:t>较好地解决了传统教学中的短板问题。在树立课程建设新理念、推进相应类型高校课程改革创新、提升教学效果方面显示了明显优势，具有推广价值。</w:t>
            </w:r>
          </w:p>
        </w:tc>
      </w:tr>
      <w:bookmarkEnd w:id="148"/>
      <w:bookmarkEnd w:id="149"/>
      <w:bookmarkEnd w:id="150"/>
      <w:bookmarkEnd w:id="151"/>
      <w:bookmarkEnd w:id="152"/>
      <w:bookmarkEnd w:id="153"/>
    </w:tbl>
    <w:p>
      <w:pPr>
        <w:pStyle w:val="4"/>
        <w:spacing w:before="435" w:beforeLines="100" w:after="0" w:line="560" w:lineRule="exact"/>
        <w:ind w:firstLine="723" w:firstLineChars="200"/>
        <w:rPr>
          <w:rFonts w:ascii="仿宋" w:hAnsi="仿宋" w:eastAsia="仿宋"/>
          <w:sz w:val="36"/>
          <w:szCs w:val="36"/>
        </w:rPr>
      </w:pPr>
      <w:bookmarkStart w:id="180" w:name="_Toc2118"/>
      <w:bookmarkStart w:id="181" w:name="_Toc86068889"/>
      <w:bookmarkStart w:id="182" w:name="_Toc8375"/>
      <w:bookmarkStart w:id="183" w:name="_Toc31619"/>
      <w:bookmarkStart w:id="184" w:name="_Toc49108516"/>
      <w:bookmarkStart w:id="185" w:name="_Toc10195"/>
      <w:bookmarkStart w:id="186" w:name="_Toc25482"/>
      <w:bookmarkStart w:id="187" w:name="_Toc13626"/>
      <w:bookmarkStart w:id="188" w:name="_Toc526975914"/>
      <w:bookmarkStart w:id="189" w:name="_Toc526975920"/>
      <w:r>
        <w:rPr>
          <w:rFonts w:ascii="仿宋" w:hAnsi="仿宋" w:eastAsia="仿宋"/>
          <w:sz w:val="36"/>
          <w:szCs w:val="36"/>
        </w:rPr>
        <w:t>2-4</w:t>
      </w:r>
      <w:r>
        <w:rPr>
          <w:rFonts w:hint="eastAsia" w:ascii="仿宋" w:hAnsi="仿宋" w:eastAsia="仿宋"/>
          <w:sz w:val="36"/>
          <w:szCs w:val="36"/>
        </w:rPr>
        <w:t>社会实践课程</w:t>
      </w:r>
      <w:bookmarkEnd w:id="180"/>
      <w:bookmarkEnd w:id="181"/>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90" w:name="_Toc1109"/>
      <w:bookmarkStart w:id="191" w:name="_Toc27006"/>
      <w:r>
        <w:rPr>
          <w:rFonts w:hint="eastAsia" w:ascii="仿宋" w:hAnsi="仿宋" w:eastAsia="仿宋"/>
          <w:b/>
          <w:color w:val="000000" w:themeColor="text1"/>
          <w:kern w:val="0"/>
          <w:szCs w:val="36"/>
          <w14:textFill>
            <w14:solidFill>
              <w14:schemeClr w14:val="tx1"/>
            </w14:solidFill>
          </w14:textFill>
        </w:rPr>
        <w:t>一、建设目标</w:t>
      </w:r>
      <w:bookmarkEnd w:id="190"/>
      <w:bookmarkEnd w:id="191"/>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92" w:name="_Toc7012"/>
      <w:bookmarkStart w:id="193" w:name="_Toc19872"/>
      <w:r>
        <w:rPr>
          <w:rFonts w:hint="eastAsia" w:ascii="仿宋" w:hAnsi="仿宋" w:eastAsia="仿宋"/>
          <w:b/>
          <w:color w:val="000000" w:themeColor="text1"/>
          <w:kern w:val="0"/>
          <w:szCs w:val="36"/>
          <w14:textFill>
            <w14:solidFill>
              <w14:schemeClr w14:val="tx1"/>
            </w14:solidFill>
          </w14:textFill>
        </w:rPr>
        <w:t>二、建设</w:t>
      </w:r>
      <w:bookmarkEnd w:id="192"/>
      <w:bookmarkEnd w:id="193"/>
      <w:r>
        <w:rPr>
          <w:rFonts w:hint="eastAsia" w:ascii="仿宋" w:hAnsi="仿宋" w:eastAsia="仿宋"/>
          <w:b/>
          <w:color w:val="000000" w:themeColor="text1"/>
          <w:kern w:val="0"/>
          <w:szCs w:val="36"/>
          <w14:textFill>
            <w14:solidFill>
              <w14:schemeClr w14:val="tx1"/>
            </w14:solidFill>
          </w14:textFill>
        </w:rPr>
        <w:t>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以培养学生综合能力为目标，注重推动课堂教学与社会实践有机融合，将价值塑造、知识传授和能力培养融为一体，培育学生专业知识运用能力和解决实际问题能力。</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深入推动创新创业教育与思想政治教育紧密结合，以青春梦托起伟大的中国梦。以传承红色基因为目的，培养青年一代勇敢担负起艰巨而光荣的历史使命，用实际行动把红色基因一代代传下去，做对国家对人民对社会有用的人。</w:t>
      </w:r>
      <w:r>
        <w:rPr>
          <w:rFonts w:ascii="仿宋" w:hAnsi="仿宋" w:eastAsia="仿宋"/>
          <w:color w:val="000000" w:themeColor="text1"/>
          <w:kern w:val="0"/>
          <w:szCs w:val="36"/>
          <w14:textFill>
            <w14:solidFill>
              <w14:schemeClr w14:val="tx1"/>
            </w14:solidFill>
          </w14:textFill>
        </w:rPr>
        <w:t xml:space="preserve"> </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充分发挥人才、智力和技术优势，推动新理念、新技术、新产品、新业态和新模式在农村蓬勃兴起。</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项目团队要深入调研各地实际需求，关注环境、医疗、卫生、社区、法律、生态、媒体、三农等社会问题，为乡村振兴注入青春新动能。</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广泛开展“互联网＋”大学生创新创业大赛、创新与创业、思政课程的社会实践等活动，练就学生敢冒风险、敢闯会创的过硬本领和爱拼敢赢的意志品质。</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94" w:name="_Toc15901"/>
      <w:bookmarkStart w:id="195" w:name="_Toc23408"/>
      <w:r>
        <w:rPr>
          <w:rFonts w:hint="eastAsia" w:ascii="仿宋" w:hAnsi="仿宋" w:eastAsia="仿宋"/>
          <w:b/>
          <w:color w:val="000000" w:themeColor="text1"/>
          <w:kern w:val="0"/>
          <w:szCs w:val="36"/>
          <w14:textFill>
            <w14:solidFill>
              <w14:schemeClr w14:val="tx1"/>
            </w14:solidFill>
          </w14:textFill>
        </w:rPr>
        <w:t>三、申报</w:t>
      </w:r>
      <w:bookmarkEnd w:id="194"/>
      <w:bookmarkEnd w:id="195"/>
      <w:r>
        <w:rPr>
          <w:rFonts w:hint="eastAsia" w:ascii="仿宋" w:hAnsi="仿宋" w:eastAsia="仿宋"/>
          <w:b/>
          <w:color w:val="000000" w:themeColor="text1"/>
          <w:kern w:val="0"/>
          <w:szCs w:val="36"/>
          <w14:textFill>
            <w14:solidFill>
              <w14:schemeClr w14:val="tx1"/>
            </w14:solidFill>
          </w14:textFill>
        </w:rPr>
        <w:t>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应为纳入高校人才培养方案的非实习、实训课程，配备理论指导教师，具有稳定的实践基地，学生</w:t>
      </w:r>
      <w:r>
        <w:rPr>
          <w:rFonts w:ascii="仿宋" w:hAnsi="仿宋" w:eastAsia="仿宋"/>
          <w:color w:val="000000" w:themeColor="text1"/>
          <w:kern w:val="0"/>
          <w:szCs w:val="36"/>
          <w14:textFill>
            <w14:solidFill>
              <w14:schemeClr w14:val="tx1"/>
            </w14:solidFill>
          </w14:textFill>
        </w:rPr>
        <w:t>70%</w:t>
      </w:r>
      <w:r>
        <w:rPr>
          <w:rFonts w:hint="eastAsia" w:ascii="仿宋" w:hAnsi="仿宋" w:eastAsia="仿宋"/>
          <w:color w:val="000000" w:themeColor="text1"/>
          <w:kern w:val="0"/>
          <w:szCs w:val="36"/>
          <w14:textFill>
            <w14:solidFill>
              <w14:schemeClr w14:val="tx1"/>
            </w14:solidFill>
          </w14:textFill>
        </w:rPr>
        <w:t>以上学时深入基层，保证课程规范化和可持续发展。</w:t>
      </w:r>
      <w:r>
        <w:rPr>
          <w:rFonts w:ascii="仿宋" w:hAnsi="仿宋" w:eastAsia="仿宋"/>
          <w:color w:val="000000" w:themeColor="text1"/>
          <w:kern w:val="0"/>
          <w:szCs w:val="36"/>
          <w14:textFill>
            <w14:solidFill>
              <w14:schemeClr w14:val="tx1"/>
            </w14:solidFill>
          </w14:textFill>
        </w:rPr>
        <w:t xml:space="preserve"> </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2.课程负责人为本校专职教师，具有博士学位或副教授及以上职称。</w:t>
      </w:r>
    </w:p>
    <w:p>
      <w:pPr>
        <w:pStyle w:val="4"/>
        <w:spacing w:before="435" w:beforeLines="100" w:after="0" w:line="560" w:lineRule="exact"/>
        <w:ind w:firstLine="723" w:firstLineChars="200"/>
        <w:rPr>
          <w:rFonts w:ascii="仿宋" w:hAnsi="仿宋" w:eastAsia="仿宋"/>
          <w:sz w:val="36"/>
          <w:szCs w:val="36"/>
        </w:rPr>
      </w:pPr>
      <w:bookmarkStart w:id="196" w:name="_Toc86068890"/>
      <w:bookmarkStart w:id="197" w:name="_Toc22225"/>
      <w:r>
        <w:rPr>
          <w:rFonts w:ascii="仿宋" w:hAnsi="仿宋" w:eastAsia="仿宋"/>
          <w:sz w:val="36"/>
          <w:szCs w:val="36"/>
        </w:rPr>
        <w:t>2-5</w:t>
      </w:r>
      <w:r>
        <w:rPr>
          <w:rFonts w:hint="eastAsia" w:ascii="仿宋" w:hAnsi="仿宋" w:eastAsia="仿宋"/>
          <w:sz w:val="36"/>
          <w:szCs w:val="36"/>
        </w:rPr>
        <w:t>虚拟仿真实验教学课程</w:t>
      </w:r>
      <w:bookmarkEnd w:id="196"/>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为适应经济社会快速发展对人才培养的新要求和信息化时代教育教学新规律，以提高学生实践能力和创新精神为核心，以现代信息技术为依托，以相关专业类急需的实验教学信息化内容为指向，以完整的实验教学项目为基础，建设示范性虚拟仿真实验教学项目，推动高校积极探索线上线下教学相结合的个性化、智能化、泛在化实验教学新模式，形成专业布局合理、教学效果优良、开放共享高效的教育信息化实验教学项目示范新体系，支撑高等教育教学质量全面提高。</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r>
        <w:rPr>
          <w:rFonts w:ascii="仿宋" w:hAnsi="仿宋" w:eastAsia="仿宋"/>
          <w:b/>
          <w:color w:val="000000" w:themeColor="text1"/>
          <w:kern w:val="0"/>
          <w:szCs w:val="36"/>
          <w14:textFill>
            <w14:solidFill>
              <w14:schemeClr w14:val="tx1"/>
            </w14:solidFill>
          </w14:textFill>
        </w:rPr>
        <w:t xml:space="preserve"> </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实验教学项目作为高校开展实验教学的基本单元，其建设水平直接决定实验教学的整体质量。开展虚拟仿真实验教学项目建设，是推进现代信息技术与实验教学项目深度融合、拓展实验教学内容广度和深度、延伸实验教学时间和空间、提升实验教学质量和水平的重要举措。示范性虚拟仿真实验教学项目的具体建设要求如下：</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以学生为中心的实验教学理念。坚持一切从学生需求出发，注重对学生社会责任感、创新精神、实践能力的综合培养，注重知识传授、能力培养、素质提高的协同实施，调动学生参与实验教学积极性和主动性，激发学生学习兴趣和潜能，增强学生创新创造能力。</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准确适宜的实验教学内容。应面向实验教学培养目标，针对实物实验安全性差、难以实现、成本高昂、时空限制等方面原因不便开展的实验教学任务。项目应实现实验核心要素，项目的仿真度应着力于还原真实实验的教学要求、实验原理、操作环境及互动感受。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创新多样的教学方式方法。始终关注信息化时代背景下学生需求，重点实行基于问题、案例的互动式、研讨式教学，倡导自主式、合作式、探究式学习。创新实验教学项目资源呈现方式，注重通过文字、图片、视频等各种媒介促进教学准备、线上讨论、线下交流。加强网络化条件下实验教学规律研究，探索提升实验教学效果的方式方法。</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先进可靠的实验研发技术。虚拟仿真实验教学项目的研发要以完成教学要求和内容为目标，综合应用多媒体、大数据、三维建模、人工智能、人机交互、传感器、超级计算、虚拟现实、增强现实、云计算等网络化、数字化、智能化技术手段，提高实验教学项目的吸引力和教学有效度。加强相关技术可靠性研究，注重对学生使用虚拟仿真实验教学项目的全方位、多层次防护，切实保障学生健康。</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5.稳定安全的开放运行模式。充分考虑不同区域、不同层次、不同类型学生</w:t>
      </w:r>
      <w:r>
        <w:rPr>
          <w:rFonts w:hint="eastAsia" w:ascii="仿宋" w:hAnsi="仿宋" w:eastAsia="仿宋"/>
          <w:color w:val="000000" w:themeColor="text1"/>
          <w:kern w:val="0"/>
          <w:szCs w:val="36"/>
          <w14:textFill>
            <w14:solidFill>
              <w14:schemeClr w14:val="tx1"/>
            </w14:solidFill>
          </w14:textFill>
        </w:rPr>
        <w:t>开展</w:t>
      </w:r>
      <w:r>
        <w:rPr>
          <w:rFonts w:ascii="仿宋" w:hAnsi="仿宋" w:eastAsia="仿宋"/>
          <w:color w:val="000000" w:themeColor="text1"/>
          <w:kern w:val="0"/>
          <w:szCs w:val="36"/>
          <w14:textFill>
            <w14:solidFill>
              <w14:schemeClr w14:val="tx1"/>
            </w14:solidFill>
          </w14:textFill>
        </w:rPr>
        <w:t>实验教学项目的运行需求，搭建具有开放性、扩展性、兼容性和前瞻性的虚拟仿真实验教学项目运行平台。注重对相关实验教学项目自有或共有知识产权的保护，注重对学生个人信息的保护，严格遵守我国教育、知识产权、互联网等相关法律法规，按照“谁开发、谁负责，谁使用、谁负责”的原则确定基本安全责任。</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敬业专业的实验教学队伍。重视实验教学队伍建设，围绕虚拟仿真实验教学项目建设运行，建设师德高尚、热爱教学、知识丰富、能力过硬、结构合理的虚拟仿真实验教学团队。健全完善实验教学队伍考核、奖励、监督机制，鼓励、支持教师参与虚拟仿真实验教学项目研发和教学实践。</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7.持续改进的实验评价体系。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8.显著示范的实验教学效果。虚拟仿真实验教学效果显著，受益面大，学生实验兴趣浓厚，自主学习能力明显增强，实践创新能力明显提高。通过开展在线教学服务或技术支持，积极发挥对专业类实验教学信息化建设的示范引领作用。</w:t>
      </w:r>
    </w:p>
    <w:p>
      <w:pPr>
        <w:widowControl/>
        <w:adjustRightInd w:val="0"/>
        <w:spacing w:line="560" w:lineRule="exact"/>
        <w:ind w:firstLine="643" w:firstLineChars="200"/>
        <w:outlineLvl w:val="3"/>
        <w:rPr>
          <w:rFonts w:ascii="仿宋" w:hAnsi="仿宋" w:eastAsia="仿宋"/>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1.申报课程应为高校开展实验教学的基本单元，符合虚拟仿真实验教学项目要求。各高校要结合本校专业类实验室建设情况和专业类实验教学信息化发展需求等因素，做统筹规划。</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2.项目负责人须为申报院校专任教师，具有</w:t>
      </w:r>
      <w:r>
        <w:rPr>
          <w:rFonts w:hint="eastAsia" w:ascii="仿宋" w:hAnsi="仿宋" w:eastAsia="仿宋"/>
          <w:color w:val="000000" w:themeColor="text1"/>
          <w:kern w:val="0"/>
          <w:szCs w:val="36"/>
          <w14:textFill>
            <w14:solidFill>
              <w14:schemeClr w14:val="tx1"/>
            </w14:solidFill>
          </w14:textFill>
        </w:rPr>
        <w:t>副教授及以上</w:t>
      </w:r>
      <w:r>
        <w:rPr>
          <w:rFonts w:ascii="仿宋" w:hAnsi="仿宋" w:eastAsia="仿宋"/>
          <w:color w:val="000000" w:themeColor="text1"/>
          <w:kern w:val="0"/>
          <w:szCs w:val="36"/>
          <w14:textFill>
            <w14:solidFill>
              <w14:schemeClr w14:val="tx1"/>
            </w14:solidFill>
          </w14:textFill>
        </w:rPr>
        <w:t>职称或博士学位，教学经验丰富，教学能力强，从事该实践项目教学3年及以上，实验系列教师职称可放宽至中级。项目团队组成结构合理、人员稳定，须保障线上线下教学应用正常有序运行。</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3.课程申报负责人要承诺申报材料的真实性，引用的课程资源要注明来源，上网内容不侵犯他人的知识产权。</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4.学校制定虚拟仿真实验教学项目工作量计算办法，明确对实践建设团队的教学工作量的认定。对没有配套政策支持的学校不予立项，申报时需要提供学校配套政策的相关文件。</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5.采取先建设应用、后评价认定、持续监测评估的方式，建设一批省级示范性虚拟仿真实验教学项目。</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四、验收标准</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建设期满</w:t>
      </w:r>
      <w:r>
        <w:rPr>
          <w:rFonts w:ascii="仿宋" w:hAnsi="仿宋" w:eastAsia="仿宋"/>
          <w:color w:val="000000" w:themeColor="text1"/>
          <w:kern w:val="0"/>
          <w:szCs w:val="36"/>
          <w14:textFill>
            <w14:solidFill>
              <w14:schemeClr w14:val="tx1"/>
            </w14:solidFill>
          </w14:textFill>
        </w:rPr>
        <w:t>，教育厅组织专家，对申报的虚拟仿真实验教学项目的教学内容、教学方法、教学效果、教学资源、共享服务等方面进行评价，并充分考虑网络使用用户的评价，对“省级虚拟仿真实验教学项目”进行认定。</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1.视频资源</w:t>
      </w:r>
      <w:r>
        <w:rPr>
          <w:rFonts w:hint="eastAsia" w:ascii="仿宋" w:hAnsi="仿宋" w:eastAsia="仿宋"/>
          <w:color w:val="000000" w:themeColor="text1"/>
          <w:kern w:val="0"/>
          <w:szCs w:val="36"/>
          <w14:textFill>
            <w14:solidFill>
              <w14:schemeClr w14:val="tx1"/>
            </w14:solidFill>
          </w14:textFill>
        </w:rPr>
        <w:t>。视频内容应重点介绍实验教学项目的基本情况，包括实验名称、实验目的、实验环境、实验内容、实验要求、实验方法、实验步骤、实验注意事项等，实现对所申报实验项目的真实反映，激发使用者的参与愿望。教学项目简介视频时长控制在</w:t>
      </w:r>
      <w:r>
        <w:rPr>
          <w:rFonts w:ascii="仿宋" w:hAnsi="仿宋" w:eastAsia="仿宋"/>
          <w:color w:val="000000" w:themeColor="text1"/>
          <w:kern w:val="0"/>
          <w:szCs w:val="36"/>
          <w14:textFill>
            <w14:solidFill>
              <w14:schemeClr w14:val="tx1"/>
            </w14:solidFill>
          </w14:textFill>
        </w:rPr>
        <w:t>3分钟以内，项目教学引导视频时长控制在5-8分钟以内。画面清晰、图像稳定，声音与画面同步且无杂音。如有解说应采用标准普通话配音。分辨率：1920*1080 25P或以上；编码：H.264，H.264/AVC High Profile Level 4.2或以上；封装格式：MP4；码流：不小于5Mbps。</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音频和字幕要求。音频格式：混合立体声；编码：</w:t>
      </w:r>
      <w:r>
        <w:rPr>
          <w:rFonts w:ascii="仿宋" w:hAnsi="仿宋" w:eastAsia="仿宋"/>
          <w:color w:val="000000" w:themeColor="text1"/>
          <w:kern w:val="0"/>
          <w:szCs w:val="36"/>
          <w14:textFill>
            <w14:solidFill>
              <w14:schemeClr w14:val="tx1"/>
            </w14:solidFill>
          </w14:textFill>
        </w:rPr>
        <w:t>AAC、MP3；码流：不低于128kbps，采样率48000Hz。字幕直接压制在介质上。</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2.虚拟仿真实验教学项目应坚持“能实不虚”，支撑学生综合能力培养，至少满足2个课时的实验教学需求，学生实际参与的交互性实验操作步骤须不少于10步。</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3.虚拟仿真实验教学项目应确保符合相关知识产权法律法规，可以完全对外公开服务。</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4.虚拟仿真实验教学项目应依托网络平台，提供有效链接网址应直接指向实验项目，且保持链接畅通；应确保所承诺的并发数以内网络实验请求及时响应和对超过并发数的实验请求提供排队提示服务。</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5.相关高校要确保项目被认定后1年内面向全省高校和社会免费开放并提供教学服务，1年后至3年内免费开放服务内容不少于50%，3年后免费开放服务内容不少于30%。</w:t>
      </w:r>
    </w:p>
    <w:p>
      <w:pPr>
        <w:pStyle w:val="4"/>
        <w:spacing w:before="435" w:beforeLines="100" w:after="0" w:line="560" w:lineRule="exact"/>
        <w:ind w:firstLine="723" w:firstLineChars="200"/>
        <w:rPr>
          <w:rFonts w:ascii="仿宋" w:hAnsi="仿宋" w:eastAsia="仿宋"/>
          <w:sz w:val="36"/>
          <w:szCs w:val="36"/>
        </w:rPr>
      </w:pPr>
      <w:bookmarkStart w:id="198" w:name="_Toc86068891"/>
      <w:r>
        <w:rPr>
          <w:rFonts w:ascii="仿宋" w:hAnsi="仿宋" w:eastAsia="仿宋"/>
          <w:sz w:val="36"/>
          <w:szCs w:val="36"/>
        </w:rPr>
        <w:t>2-6</w:t>
      </w:r>
      <w:r>
        <w:rPr>
          <w:rFonts w:hint="eastAsia" w:ascii="仿宋" w:hAnsi="仿宋" w:eastAsia="仿宋"/>
          <w:sz w:val="36"/>
          <w:szCs w:val="36"/>
        </w:rPr>
        <w:t>一流教材</w:t>
      </w:r>
      <w:bookmarkEnd w:id="197"/>
      <w:bookmarkEnd w:id="198"/>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199" w:name="_Toc4240"/>
      <w:bookmarkStart w:id="200" w:name="_Toc18640"/>
      <w:r>
        <w:rPr>
          <w:rFonts w:hint="eastAsia" w:ascii="仿宋" w:hAnsi="仿宋" w:eastAsia="仿宋"/>
          <w:b/>
          <w:color w:val="000000" w:themeColor="text1"/>
          <w:kern w:val="0"/>
          <w:szCs w:val="36"/>
          <w14:textFill>
            <w14:solidFill>
              <w14:schemeClr w14:val="tx1"/>
            </w14:solidFill>
          </w14:textFill>
        </w:rPr>
        <w:t>一、建设目标</w:t>
      </w:r>
      <w:bookmarkEnd w:id="199"/>
      <w:bookmarkEnd w:id="200"/>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贯彻落实中共中央办公厅、国务院办公厅联合印发的《关于加强和改进新形势下大中小学教材建设的意见》，加强教材研究，凝结和体现学科建设与课程建设成果，创新教材呈现方式和话语体系，实现理论体系向教材体系转化、教材体系向教学体系转化、知识体系向学生的价值体系转化，使教材更加体现科学性、前沿性，进一步增强教材针对性和实效性，从而推进我省高等教育高质量教材建设，全面提升我省教材建设水平。</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201" w:name="_Toc26645"/>
      <w:bookmarkStart w:id="202" w:name="_Toc1119"/>
      <w:r>
        <w:rPr>
          <w:rFonts w:hint="eastAsia" w:ascii="仿宋" w:hAnsi="仿宋" w:eastAsia="仿宋"/>
          <w:b/>
          <w:color w:val="000000" w:themeColor="text1"/>
          <w:kern w:val="0"/>
          <w:szCs w:val="36"/>
          <w14:textFill>
            <w14:solidFill>
              <w14:schemeClr w14:val="tx1"/>
            </w14:solidFill>
          </w14:textFill>
        </w:rPr>
        <w:t>二、建设</w:t>
      </w:r>
      <w:bookmarkEnd w:id="201"/>
      <w:bookmarkEnd w:id="202"/>
      <w:r>
        <w:rPr>
          <w:rFonts w:hint="eastAsia" w:ascii="仿宋" w:hAnsi="仿宋" w:eastAsia="仿宋"/>
          <w:b/>
          <w:color w:val="000000" w:themeColor="text1"/>
          <w:kern w:val="0"/>
          <w:szCs w:val="36"/>
          <w14:textFill>
            <w14:solidFill>
              <w14:schemeClr w14:val="tx1"/>
            </w14:solidFill>
          </w14:textFill>
        </w:rPr>
        <w:t>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以教育部公布的《普通高等学校本科专业目录（</w:t>
      </w:r>
      <w:r>
        <w:rPr>
          <w:rFonts w:ascii="仿宋" w:hAnsi="仿宋" w:eastAsia="仿宋"/>
          <w:color w:val="000000" w:themeColor="text1"/>
          <w:kern w:val="0"/>
          <w:szCs w:val="36"/>
          <w14:textFill>
            <w14:solidFill>
              <w14:schemeClr w14:val="tx1"/>
            </w14:solidFill>
          </w14:textFill>
        </w:rPr>
        <w:t>2020年）》为依据，及时更新教材内容和结构。</w:t>
      </w:r>
      <w:r>
        <w:rPr>
          <w:rFonts w:hint="eastAsia" w:ascii="仿宋" w:hAnsi="仿宋" w:eastAsia="仿宋"/>
          <w:color w:val="000000" w:themeColor="text1"/>
          <w:kern w:val="0"/>
          <w:szCs w:val="36"/>
          <w14:textFill>
            <w14:solidFill>
              <w14:schemeClr w14:val="tx1"/>
            </w14:solidFill>
          </w14:textFill>
        </w:rPr>
        <w:t>坚持突出重点、锤炼精品、改革创新、凸现特色的原则，构建具有安徽省高校学科优势特色的、适应高水平人才培养需要的高质量课程教材体系。</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教材充分发挥育人功能，落实立德树人的根本任务，符合教学规律和认知规律，准确阐述本学科先进理论与概念，吸收国内外前沿研究成果，体例完整，结构科学，案例生动，深入浅出，有利于培养学生学习能力、实践能力和创新能力。教材建设中要充分吸收教育信息化的成果，使数字化教学资源能够服务于教学资源共享类课程的教材。</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 xml:space="preserve">    1.</w:t>
      </w:r>
      <w:r>
        <w:rPr>
          <w:rFonts w:hint="eastAsia" w:ascii="仿宋" w:hAnsi="仿宋" w:eastAsia="仿宋"/>
          <w:color w:val="000000" w:themeColor="text1"/>
          <w:kern w:val="0"/>
          <w:szCs w:val="36"/>
          <w14:textFill>
            <w14:solidFill>
              <w14:schemeClr w14:val="tx1"/>
            </w14:solidFill>
          </w14:textFill>
        </w:rPr>
        <w:t>第一主编应具有副教授及以上职称，学术造诣深厚，教学经验丰富，组织协调能力强。教材编写团队结构合理，注重吸收行业企业优秀人才参与教材建设，提高教材编写质量；鼓励教学名师、高水平专家主编或参编教材；国家、省级教学名师或国家级精品课程负责人主编教材，以及省特色专业建设点主要专业课程教材，在同等条件下优先立项。</w:t>
      </w:r>
      <w:r>
        <w:rPr>
          <w:rFonts w:ascii="仿宋" w:hAnsi="仿宋" w:eastAsia="仿宋"/>
          <w:color w:val="000000" w:themeColor="text1"/>
          <w:kern w:val="0"/>
          <w:szCs w:val="36"/>
          <w14:textFill>
            <w14:solidFill>
              <w14:schemeClr w14:val="tx1"/>
            </w14:solidFill>
          </w14:textFill>
        </w:rPr>
        <w:t>“马克思主义理论研究和建设工程”哲学社会科学重点教材及涉及课程的教材，不在此次申</w:t>
      </w:r>
      <w:r>
        <w:rPr>
          <w:rFonts w:hint="eastAsia" w:ascii="仿宋" w:hAnsi="仿宋" w:eastAsia="仿宋"/>
          <w:color w:val="000000" w:themeColor="text1"/>
          <w:kern w:val="0"/>
          <w:szCs w:val="36"/>
          <w14:textFill>
            <w14:solidFill>
              <w14:schemeClr w14:val="tx1"/>
            </w14:solidFill>
          </w14:textFill>
        </w:rPr>
        <w:t>报</w:t>
      </w:r>
      <w:r>
        <w:rPr>
          <w:rFonts w:ascii="仿宋" w:hAnsi="仿宋" w:eastAsia="仿宋"/>
          <w:color w:val="000000" w:themeColor="text1"/>
          <w:kern w:val="0"/>
          <w:szCs w:val="36"/>
          <w14:textFill>
            <w14:solidFill>
              <w14:schemeClr w14:val="tx1"/>
            </w14:solidFill>
          </w14:textFill>
        </w:rPr>
        <w:t>范围内。</w:t>
      </w:r>
    </w:p>
    <w:p>
      <w:pPr>
        <w:widowControl/>
        <w:adjustRightInd w:val="0"/>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申报教材可以为新编教材或修订教材。</w:t>
      </w:r>
    </w:p>
    <w:p>
      <w:pPr>
        <w:widowControl/>
        <w:adjustRightInd w:val="0"/>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新编教材。重点推荐反映当代科学技术、文化的最新成就，反映区域经济社会发展需要，在内容和体系上有明显特色的教材；教学改革力度较大的教材以及新兴、交叉学科、专业的教材；体现改革创新的实验教学教材和实习实训类教材；解决教学急需的教材。</w:t>
      </w:r>
      <w:r>
        <w:rPr>
          <w:rFonts w:hint="eastAsia" w:ascii="仿宋" w:hAnsi="仿宋" w:eastAsia="仿宋"/>
          <w:color w:val="000000" w:themeColor="text1"/>
          <w:kern w:val="0"/>
          <w:szCs w:val="36"/>
          <w14:textFill>
            <w14:solidFill>
              <w14:schemeClr w14:val="tx1"/>
            </w14:solidFill>
          </w14:textFill>
        </w:rPr>
        <w:t>项目负责人</w:t>
      </w:r>
      <w:r>
        <w:rPr>
          <w:rFonts w:ascii="仿宋" w:hAnsi="仿宋" w:eastAsia="仿宋"/>
          <w:color w:val="000000" w:themeColor="text1"/>
          <w:kern w:val="0"/>
          <w:szCs w:val="36"/>
          <w14:textFill>
            <w14:solidFill>
              <w14:schemeClr w14:val="tx1"/>
            </w14:solidFill>
          </w14:textFill>
        </w:rPr>
        <w:t>须在2015</w:t>
      </w:r>
      <w:r>
        <w:rPr>
          <w:rFonts w:hint="eastAsia" w:ascii="仿宋" w:hAnsi="仿宋" w:eastAsia="仿宋"/>
          <w:color w:val="000000" w:themeColor="text1"/>
          <w:kern w:val="0"/>
          <w:szCs w:val="36"/>
          <w14:textFill>
            <w14:solidFill>
              <w14:schemeClr w14:val="tx1"/>
            </w14:solidFill>
          </w14:textFill>
        </w:rPr>
        <w:t>年</w:t>
      </w:r>
      <w:r>
        <w:rPr>
          <w:rFonts w:ascii="仿宋" w:hAnsi="仿宋" w:eastAsia="仿宋"/>
          <w:color w:val="000000" w:themeColor="text1"/>
          <w:kern w:val="0"/>
          <w:szCs w:val="36"/>
          <w14:textFill>
            <w14:solidFill>
              <w14:schemeClr w14:val="tx1"/>
            </w14:solidFill>
          </w14:textFill>
        </w:rPr>
        <w:t>01月至2020年12月期间</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主编</w:t>
      </w:r>
      <w:r>
        <w:rPr>
          <w:rFonts w:hint="eastAsia" w:ascii="仿宋" w:hAnsi="仿宋" w:eastAsia="仿宋"/>
          <w:color w:val="000000" w:themeColor="text1"/>
          <w:kern w:val="0"/>
          <w:szCs w:val="36"/>
          <w14:textFill>
            <w14:solidFill>
              <w14:schemeClr w14:val="tx1"/>
            </w14:solidFill>
          </w14:textFill>
        </w:rPr>
        <w:t>并</w:t>
      </w:r>
      <w:r>
        <w:rPr>
          <w:rFonts w:ascii="仿宋" w:hAnsi="仿宋" w:eastAsia="仿宋"/>
          <w:color w:val="000000" w:themeColor="text1"/>
          <w:kern w:val="0"/>
          <w:szCs w:val="36"/>
          <w14:textFill>
            <w14:solidFill>
              <w14:schemeClr w14:val="tx1"/>
            </w14:solidFill>
          </w14:textFill>
        </w:rPr>
        <w:t>出版过普通高等教育教材。</w:t>
      </w:r>
    </w:p>
    <w:p>
      <w:pPr>
        <w:widowControl/>
        <w:adjustRightInd w:val="0"/>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修订教材。已经正式出版，编写质量较高，教学效果良好的教材，可根据科学技术发展、学科发展和教学改革的需要，进行修订完善。</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203" w:name="_Toc23400"/>
      <w:bookmarkStart w:id="204" w:name="_Toc25273"/>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同一主编、同一课程、不同出版单位的教材选题，不可重复申报。</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建设期满，省教育厅将进行审定验收，验收通过的立项教材，作为“省级一流教材建设项目”教材出版；未通过验收的教材，应按验收意见在规定期限内完成修改，并再次提交验收，若仍达不到要求，将取消立项资格。</w:t>
      </w:r>
    </w:p>
    <w:p>
      <w:pPr>
        <w:widowControl/>
        <w:adjustRightInd w:val="0"/>
        <w:spacing w:line="560" w:lineRule="exact"/>
        <w:ind w:firstLine="643" w:firstLineChars="200"/>
        <w:rPr>
          <w:rFonts w:ascii="仿宋" w:hAnsi="仿宋" w:eastAsia="仿宋"/>
          <w:color w:val="000000" w:themeColor="text1"/>
          <w:kern w:val="0"/>
          <w:szCs w:val="36"/>
          <w14:textFill>
            <w14:solidFill>
              <w14:schemeClr w14:val="tx1"/>
            </w14:solidFill>
          </w14:textFill>
        </w:rPr>
      </w:pPr>
      <w:r>
        <w:rPr>
          <w:rFonts w:ascii="仿宋" w:hAnsi="仿宋" w:eastAsia="仿宋"/>
          <w:b/>
          <w:color w:val="000000" w:themeColor="text1"/>
          <w:kern w:val="0"/>
          <w:szCs w:val="36"/>
          <w14:textFill>
            <w14:solidFill>
              <w14:schemeClr w14:val="tx1"/>
            </w14:solidFill>
          </w14:textFill>
        </w:rPr>
        <w:t>5</w:t>
      </w:r>
      <w:bookmarkEnd w:id="203"/>
      <w:bookmarkEnd w:id="204"/>
      <w:r>
        <w:rPr>
          <w:rFonts w:ascii="仿宋" w:hAnsi="仿宋" w:eastAsia="仿宋"/>
          <w:color w:val="000000" w:themeColor="text1"/>
          <w:kern w:val="0"/>
          <w:szCs w:val="36"/>
          <w14:textFill>
            <w14:solidFill>
              <w14:schemeClr w14:val="tx1"/>
            </w14:solidFill>
          </w14:textFill>
        </w:rPr>
        <w:t>.</w:t>
      </w:r>
      <w:r>
        <w:rPr>
          <w:rFonts w:hint="eastAsia" w:ascii="仿宋" w:hAnsi="仿宋" w:eastAsia="仿宋"/>
          <w:color w:val="000000" w:themeColor="text1"/>
          <w:kern w:val="0"/>
          <w:szCs w:val="36"/>
          <w14:textFill>
            <w14:solidFill>
              <w14:schemeClr w14:val="tx1"/>
            </w14:solidFill>
          </w14:textFill>
        </w:rPr>
        <w:t>“双一流”建设高校原则上择优推荐不超过</w:t>
      </w: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部，地方特色高水平大学不超过</w:t>
      </w: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部，地方应用型高水平大学原则上择优推荐不超过</w:t>
      </w: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部，其他本科高校原则上择优推荐不超过</w:t>
      </w: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部；博士授权学校限额数可</w:t>
      </w:r>
      <w:r>
        <w:rPr>
          <w:rFonts w:ascii="仿宋" w:hAnsi="仿宋" w:eastAsia="仿宋"/>
          <w:color w:val="000000" w:themeColor="text1"/>
          <w:kern w:val="0"/>
          <w:szCs w:val="36"/>
          <w14:textFill>
            <w14:solidFill>
              <w14:schemeClr w14:val="tx1"/>
            </w14:solidFill>
          </w14:textFill>
        </w:rPr>
        <w:t>视情况</w:t>
      </w:r>
      <w:r>
        <w:rPr>
          <w:rFonts w:hint="eastAsia" w:ascii="仿宋" w:hAnsi="仿宋" w:eastAsia="仿宋"/>
          <w:color w:val="000000" w:themeColor="text1"/>
          <w:kern w:val="0"/>
          <w:szCs w:val="36"/>
          <w14:textFill>
            <w14:solidFill>
              <w14:schemeClr w14:val="tx1"/>
            </w14:solidFill>
          </w14:textFill>
        </w:rPr>
        <w:t>加</w:t>
      </w: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，硕士授权学校限额数加</w:t>
      </w: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6.本次</w:t>
      </w:r>
      <w:r>
        <w:rPr>
          <w:rFonts w:hint="eastAsia" w:ascii="仿宋" w:hAnsi="仿宋" w:eastAsia="仿宋"/>
          <w:color w:val="000000" w:themeColor="text1"/>
          <w:kern w:val="0"/>
          <w:szCs w:val="36"/>
          <w14:textFill>
            <w14:solidFill>
              <w14:schemeClr w14:val="tx1"/>
            </w14:solidFill>
          </w14:textFill>
        </w:rPr>
        <w:t>申报采用单本、全册、成套三种申报类型，取消系列教材申报类型。全册教材（上、中、下册等）、成套教材（理论教材与实验教材等配套出版，教师用书与学生用书配套出版等）可按全册或成套整体申报，占</w:t>
      </w:r>
      <w:r>
        <w:rPr>
          <w:rFonts w:ascii="仿宋" w:hAnsi="仿宋" w:eastAsia="仿宋"/>
          <w:color w:val="000000" w:themeColor="text1"/>
          <w:kern w:val="0"/>
          <w:szCs w:val="36"/>
          <w14:textFill>
            <w14:solidFill>
              <w14:schemeClr w14:val="tx1"/>
            </w14:solidFill>
          </w14:textFill>
        </w:rPr>
        <w:t>1个</w:t>
      </w:r>
      <w:r>
        <w:rPr>
          <w:rFonts w:hint="eastAsia" w:ascii="仿宋" w:hAnsi="仿宋" w:eastAsia="仿宋"/>
          <w:color w:val="000000" w:themeColor="text1"/>
          <w:kern w:val="0"/>
          <w:szCs w:val="36"/>
          <w14:textFill>
            <w14:solidFill>
              <w14:schemeClr w14:val="tx1"/>
            </w14:solidFill>
          </w14:textFill>
        </w:rPr>
        <w:t>申报名额，也可按单本申报。</w:t>
      </w:r>
    </w:p>
    <w:p>
      <w:pPr>
        <w:pStyle w:val="4"/>
        <w:spacing w:before="435" w:beforeLines="100" w:after="0" w:line="560" w:lineRule="exact"/>
        <w:ind w:firstLine="723" w:firstLineChars="200"/>
        <w:rPr>
          <w:rFonts w:ascii="仿宋" w:hAnsi="仿宋" w:eastAsia="仿宋"/>
          <w:sz w:val="36"/>
          <w:szCs w:val="36"/>
        </w:rPr>
      </w:pPr>
      <w:bookmarkStart w:id="205" w:name="_Toc86068892"/>
      <w:r>
        <w:rPr>
          <w:rFonts w:ascii="仿宋" w:hAnsi="仿宋" w:eastAsia="仿宋"/>
          <w:sz w:val="36"/>
          <w:szCs w:val="36"/>
        </w:rPr>
        <w:t>2-7医学类教学资源库</w:t>
      </w:r>
      <w:bookmarkEnd w:id="205"/>
    </w:p>
    <w:bookmarkEnd w:id="182"/>
    <w:bookmarkEnd w:id="183"/>
    <w:bookmarkEnd w:id="184"/>
    <w:bookmarkEnd w:id="185"/>
    <w:bookmarkEnd w:id="186"/>
    <w:bookmarkEnd w:id="187"/>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206" w:name="_Toc12461"/>
      <w:bookmarkStart w:id="207" w:name="_Toc6918"/>
      <w:bookmarkStart w:id="208" w:name="_Toc20538"/>
      <w:bookmarkStart w:id="209" w:name="_Toc49108512"/>
      <w:bookmarkStart w:id="210" w:name="_Toc27816"/>
      <w:bookmarkStart w:id="211" w:name="_Toc26704"/>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建设适合教师使用的、能被教师使用的、教师乐于使用的临床医学、中医药学和公共卫生等教学资源库。资源库注重教师、学生在资源寻找中能力的提升，关注对资源梳理、使用的能力。加大推进具有安徽特色、更高水平的医学人才培养体系建设，提高涉医高校科研教学创新能力，增强服务卫生健康事业的能力。</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rPr>
        <w:t>教学资源</w:t>
      </w:r>
      <w:r>
        <w:rPr>
          <w:rFonts w:ascii="仿宋" w:hAnsi="仿宋" w:eastAsia="仿宋"/>
          <w:color w:val="000000" w:themeColor="text1"/>
          <w:kern w:val="0"/>
          <w:szCs w:val="36"/>
          <w14:textFill>
            <w14:solidFill>
              <w14:schemeClr w14:val="tx1"/>
            </w14:solidFill>
          </w14:textFill>
        </w:rPr>
        <w:t>分为有形资源和无形资源。有形资源包括教材、教具、仪器设备等有形的物质资源；无形资源包括学生已有的知识和经验、教师教学能力等。</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教学资源库</w:t>
      </w:r>
      <w:r>
        <w:rPr>
          <w:rFonts w:ascii="仿宋" w:hAnsi="仿宋" w:eastAsia="仿宋"/>
          <w:color w:val="000000" w:themeColor="text1"/>
          <w:kern w:val="0"/>
          <w:szCs w:val="36"/>
          <w14:textFill>
            <w14:solidFill>
              <w14:schemeClr w14:val="tx1"/>
            </w14:solidFill>
          </w14:textFill>
        </w:rPr>
        <w:t>为</w:t>
      </w:r>
      <w:r>
        <w:rPr>
          <w:rFonts w:hint="eastAsia" w:ascii="仿宋" w:hAnsi="仿宋" w:eastAsia="仿宋"/>
          <w:color w:val="000000" w:themeColor="text1"/>
          <w:kern w:val="0"/>
          <w:szCs w:val="36"/>
          <w14:textFill>
            <w14:solidFill>
              <w14:schemeClr w14:val="tx1"/>
            </w14:solidFill>
          </w14:textFill>
        </w:rPr>
        <w:t>教学</w:t>
      </w:r>
      <w:r>
        <w:rPr>
          <w:rFonts w:ascii="仿宋" w:hAnsi="仿宋" w:eastAsia="仿宋"/>
          <w:color w:val="000000" w:themeColor="text1"/>
          <w:kern w:val="0"/>
          <w:szCs w:val="36"/>
          <w14:textFill>
            <w14:solidFill>
              <w14:schemeClr w14:val="tx1"/>
            </w14:solidFill>
          </w14:textFill>
        </w:rPr>
        <w:t>资料的共享、经验的共享</w:t>
      </w:r>
      <w:r>
        <w:rPr>
          <w:rFonts w:hint="eastAsia" w:ascii="仿宋" w:hAnsi="仿宋" w:eastAsia="仿宋"/>
          <w:color w:val="000000" w:themeColor="text1"/>
          <w:kern w:val="0"/>
          <w:szCs w:val="36"/>
          <w14:textFill>
            <w14:solidFill>
              <w14:schemeClr w14:val="tx1"/>
            </w14:solidFill>
          </w14:textFill>
        </w:rPr>
        <w:t>以及</w:t>
      </w:r>
      <w:r>
        <w:rPr>
          <w:rFonts w:ascii="仿宋" w:hAnsi="仿宋" w:eastAsia="仿宋"/>
          <w:color w:val="000000" w:themeColor="text1"/>
          <w:kern w:val="0"/>
          <w:szCs w:val="36"/>
          <w14:textFill>
            <w14:solidFill>
              <w14:schemeClr w14:val="tx1"/>
            </w14:solidFill>
          </w14:textFill>
        </w:rPr>
        <w:t>区域与区域间的共享搭建平台。开创平行、互补</w:t>
      </w:r>
      <w:r>
        <w:rPr>
          <w:rFonts w:hint="eastAsia" w:ascii="仿宋" w:hAnsi="仿宋" w:eastAsia="仿宋"/>
          <w:color w:val="000000" w:themeColor="text1"/>
          <w:kern w:val="0"/>
          <w:szCs w:val="36"/>
          <w14:textFill>
            <w14:solidFill>
              <w14:schemeClr w14:val="tx1"/>
            </w14:solidFill>
          </w14:textFill>
        </w:rPr>
        <w:t>和</w:t>
      </w:r>
      <w:r>
        <w:rPr>
          <w:rFonts w:ascii="仿宋" w:hAnsi="仿宋" w:eastAsia="仿宋"/>
          <w:color w:val="000000" w:themeColor="text1"/>
          <w:kern w:val="0"/>
          <w:szCs w:val="36"/>
          <w14:textFill>
            <w14:solidFill>
              <w14:schemeClr w14:val="tx1"/>
            </w14:solidFill>
          </w14:textFill>
        </w:rPr>
        <w:t>合作的活动方式，开阔教师在资源收集与制作的思路，提升资源建设质量。</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 建设资源库的科学合理分级管理制度，更好地服务于课程。全面统筹、协调工作，确保资源库建设稳步有序发展；资源库的规划和管理，定期总结资源库建设经验，部署下一步的工作，负责资源库的建设、应用，经常性地组织教师开展形式多样的学习和研讨活动，保证资源库动态运行，真正实现教师自主发展；资源库素材的收集、分类、整理以及相关素材的加工处理，确保信息资料优秀、完整、真实。</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设有临床医学、中医药学和公共卫生等医学类学科的本科高校，结合学校实际情况和学科建设发展特点，强化优势和特色，组织建设教学资源库，提升学科建设整体水平。鼓励跨学科、跨学校联合申报。</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负责人应具有教授职称且具备领导和统筹整合相关教育资源的能力，项目团队应具有较高专业建设和课程建设水平。</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涉医本科高校，每所学校申报原则上不超过</w:t>
      </w: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项</w:t>
      </w:r>
      <w:r>
        <w:rPr>
          <w:rFonts w:ascii="仿宋" w:hAnsi="仿宋" w:eastAsia="仿宋"/>
          <w:color w:val="000000" w:themeColor="text1"/>
          <w:kern w:val="0"/>
          <w:szCs w:val="36"/>
          <w14:textFill>
            <w14:solidFill>
              <w14:schemeClr w14:val="tx1"/>
            </w14:solidFill>
          </w14:textFill>
        </w:rPr>
        <w:t>。</w:t>
      </w:r>
    </w:p>
    <w:p>
      <w:pPr>
        <w:pStyle w:val="3"/>
        <w:spacing w:after="0" w:line="560" w:lineRule="exact"/>
        <w:ind w:firstLine="640"/>
        <w:rPr>
          <w:rFonts w:ascii="仿宋" w:hAnsi="仿宋" w:eastAsia="仿宋"/>
          <w:color w:val="000000" w:themeColor="text1"/>
          <w:kern w:val="0"/>
          <w:sz w:val="36"/>
          <w:szCs w:val="36"/>
          <w14:textFill>
            <w14:solidFill>
              <w14:schemeClr w14:val="tx1"/>
            </w14:solidFill>
          </w14:textFill>
        </w:rPr>
      </w:pPr>
      <w:bookmarkStart w:id="212" w:name="_Toc1196"/>
      <w:bookmarkStart w:id="213" w:name="_Toc86068893"/>
      <w:r>
        <w:rPr>
          <w:rFonts w:ascii="仿宋" w:hAnsi="仿宋" w:eastAsia="仿宋"/>
          <w:color w:val="000000" w:themeColor="text1"/>
          <w:kern w:val="0"/>
          <w:sz w:val="36"/>
          <w:szCs w:val="36"/>
          <w14:textFill>
            <w14:solidFill>
              <w14:schemeClr w14:val="tx1"/>
            </w14:solidFill>
          </w14:textFill>
        </w:rPr>
        <w:t>3.一流</w:t>
      </w:r>
      <w:bookmarkEnd w:id="206"/>
      <w:bookmarkEnd w:id="207"/>
      <w:bookmarkEnd w:id="208"/>
      <w:r>
        <w:rPr>
          <w:rFonts w:ascii="仿宋" w:hAnsi="仿宋" w:eastAsia="仿宋"/>
          <w:color w:val="000000" w:themeColor="text1"/>
          <w:kern w:val="0"/>
          <w:sz w:val="36"/>
          <w:szCs w:val="36"/>
          <w14:textFill>
            <w14:solidFill>
              <w14:schemeClr w14:val="tx1"/>
            </w14:solidFill>
          </w14:textFill>
        </w:rPr>
        <w:t>师资</w:t>
      </w:r>
      <w:bookmarkEnd w:id="209"/>
      <w:bookmarkEnd w:id="210"/>
      <w:bookmarkEnd w:id="211"/>
      <w:bookmarkEnd w:id="212"/>
      <w:bookmarkEnd w:id="213"/>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214" w:name="_Toc21604"/>
      <w:bookmarkStart w:id="215" w:name="_Toc28277"/>
      <w:bookmarkStart w:id="216" w:name="_Toc6181"/>
      <w:bookmarkStart w:id="217" w:name="_Toc49108513"/>
      <w:bookmarkStart w:id="218" w:name="_Toc21637"/>
      <w:bookmarkStart w:id="219" w:name="_Toc15049"/>
      <w:bookmarkStart w:id="220" w:name="_Toc8887"/>
      <w:r>
        <w:rPr>
          <w:rFonts w:hint="eastAsia" w:ascii="仿宋" w:hAnsi="仿宋" w:eastAsia="仿宋"/>
          <w:color w:val="000000" w:themeColor="text1"/>
          <w:kern w:val="0"/>
          <w:szCs w:val="36"/>
          <w14:textFill>
            <w14:solidFill>
              <w14:schemeClr w14:val="tx1"/>
            </w14:solidFill>
          </w14:textFill>
        </w:rPr>
        <w:t>一流师资队伍建设项目总数不得超过学校分配限额，其中教学名师，“双一流”建设高校原则上不超过4人，其他本科高校不超过3人，博士授权高校可增加2人，硕士授权学校可增加1人。高水平导师和教学名师不得重复申报。教坛新秀申报数不得少于教学名师和教坛新秀申报总数的50%。</w:t>
      </w:r>
    </w:p>
    <w:p>
      <w:pPr>
        <w:pStyle w:val="4"/>
        <w:spacing w:before="435" w:beforeLines="100" w:after="0" w:line="560" w:lineRule="exact"/>
        <w:ind w:firstLine="723" w:firstLineChars="200"/>
        <w:rPr>
          <w:rFonts w:ascii="仿宋" w:hAnsi="仿宋" w:eastAsia="仿宋"/>
          <w:sz w:val="36"/>
          <w:szCs w:val="36"/>
        </w:rPr>
      </w:pPr>
      <w:bookmarkStart w:id="221" w:name="_Toc86068894"/>
      <w:r>
        <w:rPr>
          <w:rFonts w:ascii="仿宋" w:hAnsi="仿宋" w:eastAsia="仿宋"/>
          <w:sz w:val="36"/>
          <w:szCs w:val="36"/>
        </w:rPr>
        <w:t>3-1</w:t>
      </w:r>
      <w:r>
        <w:rPr>
          <w:rFonts w:hint="eastAsia" w:ascii="仿宋" w:hAnsi="仿宋" w:eastAsia="仿宋"/>
          <w:sz w:val="36"/>
          <w:szCs w:val="36"/>
        </w:rPr>
        <w:t>教学团队</w:t>
      </w:r>
      <w:bookmarkEnd w:id="214"/>
      <w:bookmarkEnd w:id="215"/>
      <w:bookmarkEnd w:id="216"/>
      <w:bookmarkEnd w:id="217"/>
      <w:bookmarkEnd w:id="218"/>
      <w:bookmarkEnd w:id="219"/>
      <w:bookmarkEnd w:id="220"/>
      <w:bookmarkEnd w:id="221"/>
    </w:p>
    <w:p>
      <w:pPr>
        <w:widowControl/>
        <w:adjustRightInd w:val="0"/>
        <w:spacing w:line="560" w:lineRule="exact"/>
        <w:ind w:firstLine="803" w:firstLineChars="250"/>
        <w:outlineLvl w:val="3"/>
        <w:rPr>
          <w:rFonts w:ascii="仿宋" w:hAnsi="仿宋" w:eastAsia="仿宋"/>
          <w:b/>
          <w:color w:val="000000" w:themeColor="text1"/>
          <w:kern w:val="0"/>
          <w:szCs w:val="36"/>
          <w14:textFill>
            <w14:solidFill>
              <w14:schemeClr w14:val="tx1"/>
            </w14:solidFill>
          </w14:textFill>
        </w:rPr>
      </w:pPr>
      <w:bookmarkStart w:id="222" w:name="_Toc31265"/>
      <w:bookmarkStart w:id="223" w:name="_Toc32354"/>
      <w:r>
        <w:rPr>
          <w:rFonts w:hint="eastAsia" w:ascii="仿宋" w:hAnsi="仿宋" w:eastAsia="仿宋"/>
          <w:b/>
          <w:color w:val="000000" w:themeColor="text1"/>
          <w:kern w:val="0"/>
          <w:szCs w:val="36"/>
          <w14:textFill>
            <w14:solidFill>
              <w14:schemeClr w14:val="tx1"/>
            </w14:solidFill>
          </w14:textFill>
        </w:rPr>
        <w:t>一、建设目标</w:t>
      </w:r>
      <w:bookmarkEnd w:id="222"/>
      <w:bookmarkEnd w:id="223"/>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建立有效的团队合作机制，发挥老教师的传、帮、带作用，加强对青年教师的培养，推进教学工作的老中青相结合。通过教学团队建设，促进教学研讨和经验交流，推动教学内容、方法的改革与创新，开发和共享教学资源，提高教育教学质量。</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224" w:name="_Toc13236"/>
      <w:bookmarkStart w:id="225" w:name="_Toc5756"/>
      <w:r>
        <w:rPr>
          <w:rFonts w:hint="eastAsia" w:ascii="仿宋" w:hAnsi="仿宋" w:eastAsia="仿宋"/>
          <w:b/>
          <w:color w:val="000000" w:themeColor="text1"/>
          <w:kern w:val="0"/>
          <w:szCs w:val="36"/>
          <w14:textFill>
            <w14:solidFill>
              <w14:schemeClr w14:val="tx1"/>
            </w14:solidFill>
          </w14:textFill>
        </w:rPr>
        <w:t>二、建设内容</w:t>
      </w:r>
      <w:bookmarkEnd w:id="224"/>
      <w:bookmarkEnd w:id="225"/>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根据学科专业特征，建立知识结构完善、老中青搭配合理、教学效果明显、在师资队伍建设方面起到示范作用的省级教学团队，资助团队开展教学研究，编辑出版教材或教研</w:t>
      </w:r>
      <w:r>
        <w:rPr>
          <w:rFonts w:ascii="仿宋" w:hAnsi="仿宋" w:eastAsia="仿宋"/>
          <w:color w:val="000000" w:themeColor="text1"/>
          <w:kern w:val="0"/>
          <w:szCs w:val="36"/>
          <w14:textFill>
            <w14:solidFill>
              <w14:schemeClr w14:val="tx1"/>
            </w14:solidFill>
          </w14:textFill>
        </w:rPr>
        <w:t>专著</w:t>
      </w:r>
      <w:r>
        <w:rPr>
          <w:rFonts w:hint="eastAsia" w:ascii="仿宋" w:hAnsi="仿宋" w:eastAsia="仿宋"/>
          <w:color w:val="000000" w:themeColor="text1"/>
          <w:kern w:val="0"/>
          <w:szCs w:val="36"/>
          <w14:textFill>
            <w14:solidFill>
              <w14:schemeClr w14:val="tx1"/>
            </w14:solidFill>
          </w14:textFill>
        </w:rPr>
        <w:t>，培养青年教师，接受教师进修。把促进学科交叉作为创新人才培养的重要途径，鼓励组建跨专业、跨学科、跨学院教学团队，整合教学资源，积极探索新型教学模式。</w:t>
      </w:r>
    </w:p>
    <w:p>
      <w:pPr>
        <w:widowControl/>
        <w:adjustRightInd w:val="0"/>
        <w:spacing w:line="560" w:lineRule="exact"/>
        <w:ind w:firstLine="643" w:firstLineChars="200"/>
        <w:outlineLvl w:val="3"/>
        <w:rPr>
          <w:rFonts w:ascii="仿宋" w:hAnsi="仿宋" w:eastAsia="仿宋"/>
          <w:color w:val="000000" w:themeColor="text1"/>
          <w:kern w:val="0"/>
          <w:szCs w:val="36"/>
          <w14:textFill>
            <w14:solidFill>
              <w14:schemeClr w14:val="tx1"/>
            </w14:solidFill>
          </w14:textFill>
        </w:rPr>
      </w:pPr>
      <w:bookmarkStart w:id="226" w:name="_Toc11195"/>
      <w:bookmarkStart w:id="227" w:name="_Toc2616"/>
      <w:r>
        <w:rPr>
          <w:rFonts w:hint="eastAsia" w:ascii="仿宋" w:hAnsi="仿宋" w:eastAsia="仿宋"/>
          <w:b/>
          <w:color w:val="000000" w:themeColor="text1"/>
          <w:kern w:val="0"/>
          <w:szCs w:val="36"/>
          <w14:textFill>
            <w14:solidFill>
              <w14:schemeClr w14:val="tx1"/>
            </w14:solidFill>
          </w14:textFill>
        </w:rPr>
        <w:t>三、申报要求</w:t>
      </w:r>
      <w:bookmarkEnd w:id="226"/>
      <w:bookmarkEnd w:id="227"/>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1.带头人。省级及以上教学名师或本学科（专业）具有教授职称的专家，具有较深的学术造诣和创新性学术思想；长期致力于本教学团队建设，坚持在教学第一线</w:t>
      </w:r>
      <w:r>
        <w:rPr>
          <w:rFonts w:hint="eastAsia" w:ascii="仿宋" w:hAnsi="仿宋" w:eastAsia="仿宋"/>
          <w:color w:val="000000" w:themeColor="text1"/>
          <w:kern w:val="0"/>
          <w:szCs w:val="36"/>
          <w14:textFill>
            <w14:solidFill>
              <w14:schemeClr w14:val="tx1"/>
            </w14:solidFill>
          </w14:textFill>
        </w:rPr>
        <w:t>承担本科教学任务</w:t>
      </w:r>
      <w:r>
        <w:rPr>
          <w:rFonts w:ascii="仿宋" w:hAnsi="仿宋" w:eastAsia="仿宋"/>
          <w:color w:val="000000" w:themeColor="text1"/>
          <w:kern w:val="0"/>
          <w:szCs w:val="36"/>
          <w14:textFill>
            <w14:solidFill>
              <w14:schemeClr w14:val="tx1"/>
            </w14:solidFill>
          </w14:textFill>
        </w:rPr>
        <w:t>。品德高尚，治学严谨，具有团结、协作精神和较好的组织、管理和领导能力。一名</w:t>
      </w:r>
      <w:r>
        <w:rPr>
          <w:rFonts w:hint="eastAsia" w:ascii="仿宋" w:hAnsi="仿宋" w:eastAsia="仿宋"/>
          <w:color w:val="000000" w:themeColor="text1"/>
          <w:kern w:val="0"/>
          <w:szCs w:val="36"/>
          <w14:textFill>
            <w14:solidFill>
              <w14:schemeClr w14:val="tx1"/>
            </w14:solidFill>
          </w14:textFill>
        </w:rPr>
        <w:t>教师</w:t>
      </w:r>
      <w:r>
        <w:rPr>
          <w:rFonts w:ascii="仿宋" w:hAnsi="仿宋" w:eastAsia="仿宋"/>
          <w:color w:val="000000" w:themeColor="text1"/>
          <w:kern w:val="0"/>
          <w:szCs w:val="36"/>
          <w14:textFill>
            <w14:solidFill>
              <w14:schemeClr w14:val="tx1"/>
            </w14:solidFill>
          </w14:textFill>
        </w:rPr>
        <w:t>只能担任一个省级教学团队的带头人。</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2.团队组成。根据各学科（专业</w:t>
      </w:r>
      <w:r>
        <w:rPr>
          <w:rFonts w:hint="eastAsia" w:ascii="仿宋" w:hAnsi="仿宋" w:eastAsia="仿宋"/>
          <w:color w:val="000000" w:themeColor="text1"/>
          <w:kern w:val="0"/>
          <w:szCs w:val="36"/>
          <w14:textFill>
            <w14:solidFill>
              <w14:schemeClr w14:val="tx1"/>
            </w14:solidFill>
          </w14:textFill>
        </w:rPr>
        <w:t>或课程</w:t>
      </w:r>
      <w:r>
        <w:rPr>
          <w:rFonts w:ascii="仿宋" w:hAnsi="仿宋" w:eastAsia="仿宋"/>
          <w:color w:val="000000" w:themeColor="text1"/>
          <w:kern w:val="0"/>
          <w:szCs w:val="36"/>
          <w14:textFill>
            <w14:solidFill>
              <w14:schemeClr w14:val="tx1"/>
            </w14:solidFill>
          </w14:textFill>
        </w:rPr>
        <w:t>）具体情况，以教研室、研究所、实验室、教学基地、实训基地和工程中心等为建设单位，以系列课程或专业为建设平台，在多年教学改革与实践中形成团队，具有明确的发展目标、良好的合作精神和梯队结构，老中青搭配，职称和知识结构合理，在指导和激励中青年教师提高专业素质和业务水平方面成效显著。</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3.教学工作。</w:t>
      </w:r>
      <w:r>
        <w:rPr>
          <w:rFonts w:hint="eastAsia" w:ascii="仿宋" w:hAnsi="仿宋" w:eastAsia="仿宋"/>
          <w:color w:val="000000" w:themeColor="text1"/>
          <w:kern w:val="0"/>
          <w:szCs w:val="36"/>
          <w14:textFill>
            <w14:solidFill>
              <w14:schemeClr w14:val="tx1"/>
            </w14:solidFill>
          </w14:textFill>
        </w:rPr>
        <w:t>教育</w:t>
      </w:r>
      <w:r>
        <w:rPr>
          <w:rFonts w:ascii="仿宋" w:hAnsi="仿宋" w:eastAsia="仿宋"/>
          <w:color w:val="000000" w:themeColor="text1"/>
          <w:kern w:val="0"/>
          <w:szCs w:val="36"/>
          <w14:textFill>
            <w14:solidFill>
              <w14:schemeClr w14:val="tx1"/>
            </w14:solidFill>
          </w14:textFill>
        </w:rPr>
        <w:t>教学与</w:t>
      </w:r>
      <w:r>
        <w:rPr>
          <w:rFonts w:hint="eastAsia" w:ascii="仿宋" w:hAnsi="仿宋" w:eastAsia="仿宋"/>
          <w:color w:val="000000" w:themeColor="text1"/>
          <w:kern w:val="0"/>
          <w:szCs w:val="36"/>
          <w14:textFill>
            <w14:solidFill>
              <w14:schemeClr w14:val="tx1"/>
            </w14:solidFill>
          </w14:textFill>
        </w:rPr>
        <w:t>我省经济和社会发展急需领域</w:t>
      </w:r>
      <w:r>
        <w:rPr>
          <w:rFonts w:ascii="仿宋" w:hAnsi="仿宋" w:eastAsia="仿宋"/>
          <w:color w:val="000000" w:themeColor="text1"/>
          <w:kern w:val="0"/>
          <w:szCs w:val="36"/>
          <w14:textFill>
            <w14:solidFill>
              <w14:schemeClr w14:val="tx1"/>
            </w14:solidFill>
          </w14:textFill>
        </w:rPr>
        <w:t>相结合，了解学科（专业）、行业现状，追踪学科（专业）前沿，及时更新教学内容</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教学方法科学，教学手段先进，重视实验实践性教学，</w:t>
      </w:r>
      <w:r>
        <w:rPr>
          <w:rFonts w:hint="eastAsia" w:ascii="仿宋" w:hAnsi="仿宋" w:eastAsia="仿宋"/>
          <w:color w:val="000000" w:themeColor="text1"/>
          <w:kern w:val="0"/>
          <w:szCs w:val="36"/>
          <w14:textFill>
            <w14:solidFill>
              <w14:schemeClr w14:val="tx1"/>
            </w14:solidFill>
          </w14:textFill>
        </w:rPr>
        <w:t>以学生为中心，</w:t>
      </w:r>
      <w:r>
        <w:rPr>
          <w:rFonts w:ascii="仿宋" w:hAnsi="仿宋" w:eastAsia="仿宋"/>
          <w:color w:val="000000" w:themeColor="text1"/>
          <w:kern w:val="0"/>
          <w:szCs w:val="36"/>
          <w14:textFill>
            <w14:solidFill>
              <w14:schemeClr w14:val="tx1"/>
            </w14:solidFill>
          </w14:textFill>
        </w:rPr>
        <w:t>引导学生进行研究性学习和创新性实践，培养学生发现、分析和解决问题的兴趣和能力</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在教学工作中有强烈的质量意识，具有完整、有效、可持续改进的教学质量管理措施，教学效果好，团队</w:t>
      </w:r>
      <w:r>
        <w:rPr>
          <w:rFonts w:hint="eastAsia" w:ascii="仿宋" w:hAnsi="仿宋" w:eastAsia="仿宋"/>
          <w:color w:val="000000" w:themeColor="text1"/>
          <w:kern w:val="0"/>
          <w:szCs w:val="36"/>
          <w14:textFill>
            <w14:solidFill>
              <w14:schemeClr w14:val="tx1"/>
            </w14:solidFill>
          </w14:textFill>
        </w:rPr>
        <w:t>成员</w:t>
      </w:r>
      <w:r>
        <w:rPr>
          <w:rFonts w:ascii="仿宋" w:hAnsi="仿宋" w:eastAsia="仿宋"/>
          <w:color w:val="000000" w:themeColor="text1"/>
          <w:kern w:val="0"/>
          <w:szCs w:val="36"/>
          <w14:textFill>
            <w14:solidFill>
              <w14:schemeClr w14:val="tx1"/>
            </w14:solidFill>
          </w14:textFill>
        </w:rPr>
        <w:t>无教学事故。</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4.教学研究。积极参加教学改革与创新，团队中有成员主持过教学改革研究、综合改革试点专业、品牌专业、课程</w:t>
      </w:r>
      <w:r>
        <w:rPr>
          <w:rFonts w:hint="eastAsia" w:ascii="仿宋" w:hAnsi="仿宋" w:eastAsia="仿宋"/>
          <w:color w:val="000000" w:themeColor="text1"/>
          <w:kern w:val="0"/>
          <w:szCs w:val="36"/>
          <w14:textFill>
            <w14:solidFill>
              <w14:schemeClr w14:val="tx1"/>
            </w14:solidFill>
          </w14:textFill>
        </w:rPr>
        <w:t>类建设</w:t>
      </w:r>
      <w:r>
        <w:rPr>
          <w:rFonts w:ascii="仿宋" w:hAnsi="仿宋" w:eastAsia="仿宋"/>
          <w:color w:val="000000" w:themeColor="text1"/>
          <w:kern w:val="0"/>
          <w:szCs w:val="36"/>
          <w14:textFill>
            <w14:solidFill>
              <w14:schemeClr w14:val="tx1"/>
            </w14:solidFill>
          </w14:textFill>
        </w:rPr>
        <w:t>等省级</w:t>
      </w:r>
      <w:r>
        <w:rPr>
          <w:rFonts w:hint="eastAsia" w:ascii="仿宋" w:hAnsi="仿宋" w:eastAsia="仿宋"/>
          <w:color w:val="000000" w:themeColor="text1"/>
          <w:kern w:val="0"/>
          <w:szCs w:val="36"/>
          <w14:textFill>
            <w14:solidFill>
              <w14:schemeClr w14:val="tx1"/>
            </w14:solidFill>
          </w14:textFill>
        </w:rPr>
        <w:t>及以上</w:t>
      </w:r>
      <w:r>
        <w:rPr>
          <w:rFonts w:ascii="仿宋" w:hAnsi="仿宋" w:eastAsia="仿宋"/>
          <w:color w:val="000000" w:themeColor="text1"/>
          <w:kern w:val="0"/>
          <w:szCs w:val="36"/>
          <w14:textFill>
            <w14:solidFill>
              <w14:schemeClr w14:val="tx1"/>
            </w14:solidFill>
          </w14:textFill>
        </w:rPr>
        <w:t>质量工程项目</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获得过省级以上教学成果奖</w:t>
      </w:r>
      <w:r>
        <w:rPr>
          <w:rFonts w:hint="eastAsia" w:ascii="仿宋" w:hAnsi="仿宋" w:eastAsia="仿宋"/>
          <w:color w:val="000000" w:themeColor="text1"/>
          <w:kern w:val="0"/>
          <w:szCs w:val="36"/>
          <w14:textFill>
            <w14:solidFill>
              <w14:schemeClr w14:val="tx1"/>
            </w14:solidFill>
          </w14:textFill>
        </w:rPr>
        <w:t>或教学竞赛类</w:t>
      </w:r>
      <w:r>
        <w:rPr>
          <w:rFonts w:ascii="仿宋" w:hAnsi="仿宋" w:eastAsia="仿宋"/>
          <w:color w:val="000000" w:themeColor="text1"/>
          <w:kern w:val="0"/>
          <w:szCs w:val="36"/>
          <w14:textFill>
            <w14:solidFill>
              <w14:schemeClr w14:val="tx1"/>
            </w14:solidFill>
          </w14:textFill>
        </w:rPr>
        <w:t>奖励。</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5.教材建设。重视教材研究</w:t>
      </w:r>
      <w:r>
        <w:rPr>
          <w:rFonts w:hint="eastAsia" w:ascii="仿宋" w:hAnsi="仿宋" w:eastAsia="仿宋"/>
          <w:color w:val="000000" w:themeColor="text1"/>
          <w:kern w:val="0"/>
          <w:szCs w:val="36"/>
          <w14:textFill>
            <w14:solidFill>
              <w14:schemeClr w14:val="tx1"/>
            </w14:solidFill>
          </w14:textFill>
        </w:rPr>
        <w:t>和教材</w:t>
      </w:r>
      <w:r>
        <w:rPr>
          <w:rFonts w:ascii="仿宋" w:hAnsi="仿宋" w:eastAsia="仿宋"/>
          <w:color w:val="000000" w:themeColor="text1"/>
          <w:kern w:val="0"/>
          <w:szCs w:val="36"/>
          <w14:textFill>
            <w14:solidFill>
              <w14:schemeClr w14:val="tx1"/>
            </w14:solidFill>
          </w14:textFill>
        </w:rPr>
        <w:t>建设，原则上</w:t>
      </w:r>
      <w:r>
        <w:rPr>
          <w:rFonts w:hint="eastAsia" w:ascii="仿宋" w:hAnsi="仿宋" w:eastAsia="仿宋"/>
          <w:color w:val="000000" w:themeColor="text1"/>
          <w:kern w:val="0"/>
          <w:szCs w:val="36"/>
          <w14:textFill>
            <w14:solidFill>
              <w14:schemeClr w14:val="tx1"/>
            </w14:solidFill>
          </w14:textFill>
        </w:rPr>
        <w:t>团队有成员</w:t>
      </w:r>
      <w:r>
        <w:rPr>
          <w:rFonts w:ascii="仿宋" w:hAnsi="仿宋" w:eastAsia="仿宋"/>
          <w:color w:val="000000" w:themeColor="text1"/>
          <w:kern w:val="0"/>
          <w:szCs w:val="36"/>
          <w14:textFill>
            <w14:solidFill>
              <w14:schemeClr w14:val="tx1"/>
            </w14:solidFill>
          </w14:textFill>
        </w:rPr>
        <w:t>承担过国家级或省级规划教材编写任务，教材使用效果良好。</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6.已在质量工程立项的教学团队不得再重复申报。</w:t>
      </w:r>
    </w:p>
    <w:p>
      <w:pPr>
        <w:pStyle w:val="4"/>
        <w:spacing w:before="435" w:beforeLines="100" w:after="0" w:line="560" w:lineRule="exact"/>
        <w:ind w:firstLine="723" w:firstLineChars="200"/>
        <w:rPr>
          <w:rFonts w:ascii="仿宋" w:hAnsi="仿宋" w:eastAsia="仿宋"/>
          <w:sz w:val="36"/>
          <w:szCs w:val="36"/>
        </w:rPr>
      </w:pPr>
      <w:bookmarkStart w:id="228" w:name="_Toc22368"/>
      <w:bookmarkStart w:id="229" w:name="_Toc19790"/>
      <w:bookmarkStart w:id="230" w:name="_Toc28249"/>
      <w:bookmarkStart w:id="231" w:name="_Toc25051"/>
      <w:bookmarkStart w:id="232" w:name="_Toc29923"/>
      <w:bookmarkStart w:id="233" w:name="_Toc86068895"/>
      <w:bookmarkStart w:id="234" w:name="_Toc7395"/>
      <w:bookmarkStart w:id="235" w:name="_Toc49108514"/>
      <w:r>
        <w:rPr>
          <w:rFonts w:ascii="仿宋" w:hAnsi="仿宋" w:eastAsia="仿宋"/>
          <w:sz w:val="36"/>
          <w:szCs w:val="36"/>
        </w:rPr>
        <w:t>3-2</w:t>
      </w:r>
      <w:r>
        <w:rPr>
          <w:rFonts w:hint="eastAsia" w:ascii="仿宋" w:hAnsi="仿宋" w:eastAsia="仿宋"/>
          <w:sz w:val="36"/>
          <w:szCs w:val="36"/>
        </w:rPr>
        <w:t>教学名师</w:t>
      </w:r>
      <w:bookmarkEnd w:id="228"/>
      <w:bookmarkEnd w:id="229"/>
      <w:bookmarkEnd w:id="230"/>
      <w:bookmarkEnd w:id="231"/>
      <w:bookmarkEnd w:id="232"/>
      <w:bookmarkEnd w:id="233"/>
      <w:bookmarkEnd w:id="234"/>
      <w:bookmarkEnd w:id="235"/>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236" w:name="_Toc14063"/>
      <w:bookmarkStart w:id="237" w:name="_Toc17003"/>
      <w:bookmarkStart w:id="238" w:name="_Toc13679"/>
      <w:bookmarkStart w:id="239" w:name="_Toc49108515"/>
      <w:bookmarkStart w:id="240" w:name="_Toc30969"/>
      <w:bookmarkStart w:id="241" w:name="_Toc20968"/>
      <w:bookmarkStart w:id="242" w:name="_Toc2943"/>
      <w:bookmarkStart w:id="243" w:name="_Toc17991"/>
      <w:r>
        <w:rPr>
          <w:rFonts w:hint="eastAsia" w:ascii="仿宋" w:hAnsi="仿宋" w:eastAsia="仿宋"/>
          <w:b/>
          <w:color w:val="000000" w:themeColor="text1"/>
          <w:kern w:val="0"/>
          <w:szCs w:val="36"/>
          <w14:textFill>
            <w14:solidFill>
              <w14:schemeClr w14:val="tx1"/>
            </w14:solidFill>
          </w14:textFill>
        </w:rPr>
        <w:t>一、评选范围</w:t>
      </w:r>
      <w:bookmarkEnd w:id="236"/>
      <w:bookmarkEnd w:id="237"/>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普通本科院校中承担教学任务的专任教师。已获得省级及以上教学名师奖的教师，不再参加本年度省级教学名师评选。已退休的参评教师须为高校返聘教师，并由高校出具返聘证明。民办高校聘请的已退休参评教师须为该校任教两年以上的专任教师。</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244" w:name="_Toc118"/>
      <w:bookmarkStart w:id="245" w:name="_Toc26796"/>
      <w:r>
        <w:rPr>
          <w:rFonts w:hint="eastAsia" w:ascii="仿宋" w:hAnsi="仿宋" w:eastAsia="仿宋"/>
          <w:b/>
          <w:color w:val="000000" w:themeColor="text1"/>
          <w:kern w:val="0"/>
          <w:szCs w:val="36"/>
          <w14:textFill>
            <w14:solidFill>
              <w14:schemeClr w14:val="tx1"/>
            </w14:solidFill>
          </w14:textFill>
        </w:rPr>
        <w:t>二、评选</w:t>
      </w:r>
      <w:bookmarkEnd w:id="244"/>
      <w:bookmarkEnd w:id="245"/>
      <w:r>
        <w:rPr>
          <w:rFonts w:hint="eastAsia" w:ascii="仿宋" w:hAnsi="仿宋" w:eastAsia="仿宋"/>
          <w:b/>
          <w:color w:val="000000" w:themeColor="text1"/>
          <w:kern w:val="0"/>
          <w:szCs w:val="36"/>
          <w14:textFill>
            <w14:solidFill>
              <w14:schemeClr w14:val="tx1"/>
            </w14:solidFill>
          </w14:textFill>
        </w:rPr>
        <w:t>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1.政治立场坚定，师德高尚；事业心强，富有创新协作精神；治学严谨，教风端正；诚信育人，为人师表。</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承担本科教学任务不少于</w:t>
      </w:r>
      <w:r>
        <w:rPr>
          <w:rFonts w:ascii="仿宋" w:hAnsi="仿宋" w:eastAsia="仿宋"/>
          <w:color w:val="000000" w:themeColor="text1"/>
          <w:kern w:val="0"/>
          <w:szCs w:val="36"/>
          <w14:textFill>
            <w14:solidFill>
              <w14:schemeClr w14:val="tx1"/>
            </w14:solidFill>
          </w14:textFill>
        </w:rPr>
        <w:t>10</w:t>
      </w:r>
      <w:r>
        <w:rPr>
          <w:rFonts w:hint="eastAsia" w:ascii="仿宋" w:hAnsi="仿宋" w:eastAsia="仿宋"/>
          <w:color w:val="000000" w:themeColor="text1"/>
          <w:kern w:val="0"/>
          <w:szCs w:val="36"/>
          <w14:textFill>
            <w14:solidFill>
              <w14:schemeClr w14:val="tx1"/>
            </w14:solidFill>
          </w14:textFill>
        </w:rPr>
        <w:t>年，</w:t>
      </w:r>
      <w:r>
        <w:rPr>
          <w:rFonts w:ascii="仿宋" w:hAnsi="仿宋" w:eastAsia="仿宋"/>
          <w:color w:val="000000" w:themeColor="text1"/>
          <w:kern w:val="0"/>
          <w:szCs w:val="36"/>
          <w14:textFill>
            <w14:solidFill>
              <w14:schemeClr w14:val="tx1"/>
            </w14:solidFill>
          </w14:textFill>
        </w:rPr>
        <w:t>具有教授职称， 60</w:t>
      </w:r>
      <w:r>
        <w:rPr>
          <w:rFonts w:hint="eastAsia" w:ascii="仿宋" w:hAnsi="仿宋" w:eastAsia="仿宋"/>
          <w:color w:val="000000" w:themeColor="text1"/>
          <w:kern w:val="0"/>
          <w:szCs w:val="36"/>
          <w14:textFill>
            <w14:solidFill>
              <w14:schemeClr w14:val="tx1"/>
            </w14:solidFill>
          </w14:textFill>
        </w:rPr>
        <w:t>周岁以下。近五年来，面向本科生年均教学工作量不少于</w:t>
      </w:r>
      <w:r>
        <w:rPr>
          <w:rFonts w:ascii="仿宋" w:hAnsi="仿宋" w:eastAsia="仿宋"/>
          <w:color w:val="000000" w:themeColor="text1"/>
          <w:kern w:val="0"/>
          <w:szCs w:val="36"/>
          <w14:textFill>
            <w14:solidFill>
              <w14:schemeClr w14:val="tx1"/>
            </w14:solidFill>
          </w14:textFill>
        </w:rPr>
        <w:t>100学时。教学效果好，主讲课程在全省同领域内有较大影响，并形成独特而有效的教学风格，在省内起到示范作用，学生评价优秀。</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3.因材施教</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课程讲授方法灵活</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能激发学生的学习兴趣，促进学生积极思维和调动学生潜在的能力，给学生以深刻的创新熏陶；积极开展教学法研究与应用，科学、合理、有效使用现代教育技术，效果好，有自己研制的多媒体课件；注重引导学生自主学习。</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4.主持过省级</w:t>
      </w:r>
      <w:r>
        <w:rPr>
          <w:rFonts w:hint="eastAsia" w:ascii="仿宋" w:hAnsi="仿宋" w:eastAsia="仿宋"/>
          <w:color w:val="000000" w:themeColor="text1"/>
          <w:kern w:val="0"/>
          <w:szCs w:val="36"/>
          <w14:textFill>
            <w14:solidFill>
              <w14:schemeClr w14:val="tx1"/>
            </w14:solidFill>
          </w14:textFill>
        </w:rPr>
        <w:t>及</w:t>
      </w:r>
      <w:r>
        <w:rPr>
          <w:rFonts w:ascii="仿宋" w:hAnsi="仿宋" w:eastAsia="仿宋"/>
          <w:color w:val="000000" w:themeColor="text1"/>
          <w:kern w:val="0"/>
          <w:szCs w:val="36"/>
          <w14:textFill>
            <w14:solidFill>
              <w14:schemeClr w14:val="tx1"/>
            </w14:solidFill>
          </w14:textFill>
        </w:rPr>
        <w:t>以上质量工程专业类或课程类建设项目。在</w:t>
      </w:r>
      <w:r>
        <w:rPr>
          <w:rFonts w:hint="eastAsia" w:ascii="仿宋" w:hAnsi="仿宋" w:eastAsia="仿宋"/>
          <w:color w:val="000000" w:themeColor="text1"/>
          <w:kern w:val="0"/>
          <w:szCs w:val="36"/>
          <w14:textFill>
            <w14:solidFill>
              <w14:schemeClr w14:val="tx1"/>
            </w14:solidFill>
          </w14:textFill>
        </w:rPr>
        <w:t>专业建设和</w:t>
      </w:r>
      <w:r>
        <w:rPr>
          <w:rFonts w:ascii="仿宋" w:hAnsi="仿宋" w:eastAsia="仿宋"/>
          <w:color w:val="000000" w:themeColor="text1"/>
          <w:kern w:val="0"/>
          <w:szCs w:val="36"/>
          <w14:textFill>
            <w14:solidFill>
              <w14:schemeClr w14:val="tx1"/>
            </w14:solidFill>
          </w14:textFill>
        </w:rPr>
        <w:t>课程建设等方面取得突出成绩，做出重要贡献，获得过省级</w:t>
      </w:r>
      <w:r>
        <w:rPr>
          <w:rFonts w:hint="eastAsia" w:ascii="仿宋" w:hAnsi="仿宋" w:eastAsia="仿宋"/>
          <w:color w:val="000000" w:themeColor="text1"/>
          <w:kern w:val="0"/>
          <w:szCs w:val="36"/>
          <w14:textFill>
            <w14:solidFill>
              <w14:schemeClr w14:val="tx1"/>
            </w14:solidFill>
          </w14:textFill>
        </w:rPr>
        <w:t>及</w:t>
      </w:r>
      <w:r>
        <w:rPr>
          <w:rFonts w:ascii="仿宋" w:hAnsi="仿宋" w:eastAsia="仿宋"/>
          <w:color w:val="000000" w:themeColor="text1"/>
          <w:kern w:val="0"/>
          <w:szCs w:val="36"/>
          <w14:textFill>
            <w14:solidFill>
              <w14:schemeClr w14:val="tx1"/>
            </w14:solidFill>
          </w14:textFill>
        </w:rPr>
        <w:t>以上教学成果奖。</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自编或主编高水平、有特色、版本新的教材。</w:t>
      </w:r>
      <w:r>
        <w:rPr>
          <w:rFonts w:ascii="仿宋" w:hAnsi="仿宋" w:eastAsia="仿宋"/>
          <w:color w:val="000000" w:themeColor="text1"/>
          <w:kern w:val="0"/>
          <w:szCs w:val="36"/>
          <w14:textFill>
            <w14:solidFill>
              <w14:schemeClr w14:val="tx1"/>
            </w14:solidFill>
          </w14:textFill>
        </w:rPr>
        <w:t>发表过高质量的教研论文或出版具有一定影响的教研专著。</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6.主持或承担过省级</w:t>
      </w:r>
      <w:r>
        <w:rPr>
          <w:rFonts w:hint="eastAsia" w:ascii="仿宋" w:hAnsi="仿宋" w:eastAsia="仿宋"/>
          <w:color w:val="000000" w:themeColor="text1"/>
          <w:kern w:val="0"/>
          <w:szCs w:val="36"/>
          <w14:textFill>
            <w14:solidFill>
              <w14:schemeClr w14:val="tx1"/>
            </w14:solidFill>
          </w14:textFill>
        </w:rPr>
        <w:t>及</w:t>
      </w:r>
      <w:r>
        <w:rPr>
          <w:rFonts w:ascii="仿宋" w:hAnsi="仿宋" w:eastAsia="仿宋"/>
          <w:color w:val="000000" w:themeColor="text1"/>
          <w:kern w:val="0"/>
          <w:szCs w:val="36"/>
          <w14:textFill>
            <w14:solidFill>
              <w14:schemeClr w14:val="tx1"/>
            </w14:solidFill>
          </w14:textFill>
        </w:rPr>
        <w:t>以上科研项目，科研成果多，原则上需获得过厅级</w:t>
      </w:r>
      <w:r>
        <w:rPr>
          <w:rFonts w:hint="eastAsia" w:ascii="仿宋" w:hAnsi="仿宋" w:eastAsia="仿宋"/>
          <w:color w:val="000000" w:themeColor="text1"/>
          <w:kern w:val="0"/>
          <w:szCs w:val="36"/>
          <w14:textFill>
            <w14:solidFill>
              <w14:schemeClr w14:val="tx1"/>
            </w14:solidFill>
          </w14:textFill>
        </w:rPr>
        <w:t>及</w:t>
      </w:r>
      <w:r>
        <w:rPr>
          <w:rFonts w:ascii="仿宋" w:hAnsi="仿宋" w:eastAsia="仿宋"/>
          <w:color w:val="000000" w:themeColor="text1"/>
          <w:kern w:val="0"/>
          <w:szCs w:val="36"/>
          <w14:textFill>
            <w14:solidFill>
              <w14:schemeClr w14:val="tx1"/>
            </w14:solidFill>
          </w14:textFill>
        </w:rPr>
        <w:t>以上科研奖励。出版</w:t>
      </w:r>
      <w:r>
        <w:rPr>
          <w:rFonts w:hint="eastAsia" w:ascii="仿宋" w:hAnsi="仿宋" w:eastAsia="仿宋"/>
          <w:color w:val="000000" w:themeColor="text1"/>
          <w:kern w:val="0"/>
          <w:szCs w:val="36"/>
          <w14:textFill>
            <w14:solidFill>
              <w14:schemeClr w14:val="tx1"/>
            </w14:solidFill>
          </w14:textFill>
        </w:rPr>
        <w:t>过</w:t>
      </w:r>
      <w:r>
        <w:rPr>
          <w:rFonts w:ascii="仿宋" w:hAnsi="仿宋" w:eastAsia="仿宋"/>
          <w:color w:val="000000" w:themeColor="text1"/>
          <w:kern w:val="0"/>
          <w:szCs w:val="36"/>
          <w14:textFill>
            <w14:solidFill>
              <w14:schemeClr w14:val="tx1"/>
            </w14:solidFill>
          </w14:textFill>
        </w:rPr>
        <w:t>科研专著或发表</w:t>
      </w:r>
      <w:r>
        <w:rPr>
          <w:rFonts w:hint="eastAsia" w:ascii="仿宋" w:hAnsi="仿宋" w:eastAsia="仿宋"/>
          <w:color w:val="000000" w:themeColor="text1"/>
          <w:kern w:val="0"/>
          <w:szCs w:val="36"/>
          <w14:textFill>
            <w14:solidFill>
              <w14:schemeClr w14:val="tx1"/>
            </w14:solidFill>
          </w14:textFill>
        </w:rPr>
        <w:t>过</w:t>
      </w:r>
      <w:r>
        <w:rPr>
          <w:rFonts w:ascii="仿宋" w:hAnsi="仿宋" w:eastAsia="仿宋"/>
          <w:color w:val="000000" w:themeColor="text1"/>
          <w:kern w:val="0"/>
          <w:szCs w:val="36"/>
          <w14:textFill>
            <w14:solidFill>
              <w14:schemeClr w14:val="tx1"/>
            </w14:solidFill>
          </w14:textFill>
        </w:rPr>
        <w:t>高质量的科研论文，科研成果的学术意义或社会经济效益大。</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7.指导和帮助中青年教师不断提高授课水平，重视教学队伍建设，作为课程主持人或主讲教师对形成结构合理的教学梯队、形成本校该领域教学的地位做出重要贡献。</w:t>
      </w:r>
    </w:p>
    <w:p>
      <w:pPr>
        <w:pStyle w:val="4"/>
        <w:spacing w:before="435" w:beforeLines="100" w:after="0" w:line="560" w:lineRule="exact"/>
        <w:ind w:firstLine="723" w:firstLineChars="200"/>
        <w:rPr>
          <w:rFonts w:ascii="仿宋" w:hAnsi="仿宋" w:eastAsia="仿宋"/>
          <w:sz w:val="36"/>
          <w:szCs w:val="36"/>
        </w:rPr>
      </w:pPr>
      <w:bookmarkStart w:id="246" w:name="_Toc4516"/>
      <w:bookmarkStart w:id="247" w:name="_Toc86068896"/>
      <w:r>
        <w:rPr>
          <w:rFonts w:ascii="仿宋" w:hAnsi="仿宋" w:eastAsia="仿宋"/>
          <w:sz w:val="36"/>
          <w:szCs w:val="36"/>
        </w:rPr>
        <w:t>3-3</w:t>
      </w:r>
      <w:r>
        <w:rPr>
          <w:rFonts w:hint="eastAsia" w:ascii="仿宋" w:hAnsi="仿宋" w:eastAsia="仿宋"/>
          <w:sz w:val="36"/>
          <w:szCs w:val="36"/>
        </w:rPr>
        <w:t>教坛新秀</w:t>
      </w:r>
      <w:bookmarkEnd w:id="238"/>
      <w:bookmarkEnd w:id="239"/>
      <w:bookmarkEnd w:id="240"/>
      <w:bookmarkEnd w:id="241"/>
      <w:bookmarkEnd w:id="242"/>
      <w:bookmarkEnd w:id="243"/>
      <w:bookmarkEnd w:id="246"/>
      <w:bookmarkEnd w:id="247"/>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248" w:name="_Toc8341"/>
      <w:bookmarkStart w:id="249" w:name="_Toc1407"/>
      <w:r>
        <w:rPr>
          <w:rFonts w:hint="eastAsia" w:ascii="仿宋" w:hAnsi="仿宋" w:eastAsia="仿宋"/>
          <w:b/>
          <w:color w:val="000000" w:themeColor="text1"/>
          <w:kern w:val="0"/>
          <w:szCs w:val="36"/>
          <w14:textFill>
            <w14:solidFill>
              <w14:schemeClr w14:val="tx1"/>
            </w14:solidFill>
          </w14:textFill>
        </w:rPr>
        <w:t>一、评选范围</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普通本科院校中，承担教学任务的骨干教师和学科带头人。已获得省级及以上教坛新秀的教师，不再参加本年度省级教坛新秀评选。</w:t>
      </w:r>
    </w:p>
    <w:bookmarkEnd w:id="248"/>
    <w:bookmarkEnd w:id="249"/>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250" w:name="_Toc2862"/>
      <w:bookmarkStart w:id="251" w:name="_Toc22552"/>
      <w:r>
        <w:rPr>
          <w:rFonts w:hint="eastAsia" w:ascii="仿宋" w:hAnsi="仿宋" w:eastAsia="仿宋"/>
          <w:b/>
          <w:color w:val="000000" w:themeColor="text1"/>
          <w:kern w:val="0"/>
          <w:szCs w:val="36"/>
          <w14:textFill>
            <w14:solidFill>
              <w14:schemeClr w14:val="tx1"/>
            </w14:solidFill>
          </w14:textFill>
        </w:rPr>
        <w:t>二、评选</w:t>
      </w:r>
      <w:bookmarkEnd w:id="250"/>
      <w:bookmarkEnd w:id="251"/>
      <w:r>
        <w:rPr>
          <w:rFonts w:hint="eastAsia" w:ascii="仿宋" w:hAnsi="仿宋" w:eastAsia="仿宋"/>
          <w:b/>
          <w:color w:val="000000" w:themeColor="text1"/>
          <w:kern w:val="0"/>
          <w:szCs w:val="36"/>
          <w14:textFill>
            <w14:solidFill>
              <w14:schemeClr w14:val="tx1"/>
            </w14:solidFill>
          </w14:textFill>
        </w:rPr>
        <w:t>要求</w:t>
      </w:r>
    </w:p>
    <w:p>
      <w:pPr>
        <w:widowControl/>
        <w:adjustRightInd w:val="0"/>
        <w:spacing w:line="560" w:lineRule="exact"/>
        <w:ind w:firstLine="640" w:firstLineChars="200"/>
        <w:jc w:val="left"/>
        <w:rPr>
          <w:rFonts w:ascii="方正仿宋_GBK" w:hAnsi="方正仿宋_GBK" w:cs="方正仿宋_GBK"/>
          <w:color w:val="000000"/>
          <w:kern w:val="0"/>
          <w:szCs w:val="36"/>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具有高校教师资格证，</w:t>
      </w:r>
      <w:r>
        <w:rPr>
          <w:rFonts w:ascii="仿宋" w:hAnsi="仿宋" w:eastAsia="仿宋"/>
          <w:color w:val="000000" w:themeColor="text1"/>
          <w:kern w:val="0"/>
          <w:szCs w:val="36"/>
          <w14:textFill>
            <w14:solidFill>
              <w14:schemeClr w14:val="tx1"/>
            </w14:solidFill>
          </w14:textFill>
        </w:rPr>
        <w:t>在高校工作6年以上，</w:t>
      </w:r>
      <w:r>
        <w:rPr>
          <w:rFonts w:hint="eastAsia" w:ascii="方正仿宋_GBK" w:hAnsi="方正仿宋_GBK" w:cs="方正仿宋_GBK"/>
          <w:color w:val="000000"/>
          <w:kern w:val="0"/>
          <w:szCs w:val="36"/>
        </w:rPr>
        <w:t>年龄</w:t>
      </w:r>
      <w:r>
        <w:rPr>
          <w:rFonts w:ascii="方正仿宋_GBK" w:hAnsi="方正仿宋_GBK" w:cs="方正仿宋_GBK"/>
          <w:color w:val="000000"/>
          <w:kern w:val="0"/>
          <w:szCs w:val="36"/>
        </w:rPr>
        <w:t>40</w:t>
      </w:r>
      <w:r>
        <w:rPr>
          <w:rFonts w:hint="eastAsia" w:ascii="方正仿宋_GBK" w:hAnsi="方正仿宋_GBK" w:cs="方正仿宋_GBK"/>
          <w:color w:val="000000"/>
          <w:kern w:val="0"/>
          <w:szCs w:val="36"/>
        </w:rPr>
        <w:t>周岁以下（19</w:t>
      </w:r>
      <w:r>
        <w:rPr>
          <w:rFonts w:ascii="方正仿宋_GBK" w:hAnsi="方正仿宋_GBK" w:cs="方正仿宋_GBK"/>
          <w:color w:val="000000"/>
          <w:kern w:val="0"/>
          <w:szCs w:val="36"/>
        </w:rPr>
        <w:t>81</w:t>
      </w:r>
      <w:r>
        <w:rPr>
          <w:rFonts w:hint="eastAsia" w:ascii="方正仿宋_GBK" w:hAnsi="方正仿宋_GBK" w:cs="方正仿宋_GBK"/>
          <w:color w:val="000000"/>
          <w:kern w:val="0"/>
          <w:szCs w:val="36"/>
        </w:rPr>
        <w:t>年1月1日后出生）的教学一线青年教师。</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2.爱岗敬业，教风端正，关爱学生，为人师表，模范遵守教师职业道德未出现教学事故或受其它处分。</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3.教学工作量饱满，高于所在教研室或课程组平均水平（实际授课时数不得低于每周4课时）。教学水平高，教学效果优秀，年度教学质量考核应在本教研室前三分之一以内。</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4.任现职以来，取得较突出的教研、科研</w:t>
      </w:r>
      <w:r>
        <w:rPr>
          <w:rFonts w:hint="eastAsia" w:ascii="仿宋" w:hAnsi="仿宋" w:eastAsia="仿宋"/>
          <w:color w:val="000000" w:themeColor="text1"/>
          <w:kern w:val="0"/>
          <w:szCs w:val="36"/>
          <w14:textFill>
            <w14:solidFill>
              <w14:schemeClr w14:val="tx1"/>
            </w14:solidFill>
          </w14:textFill>
        </w:rPr>
        <w:t>和</w:t>
      </w:r>
      <w:r>
        <w:rPr>
          <w:rFonts w:ascii="仿宋" w:hAnsi="仿宋" w:eastAsia="仿宋"/>
          <w:color w:val="000000" w:themeColor="text1"/>
          <w:kern w:val="0"/>
          <w:szCs w:val="36"/>
          <w14:textFill>
            <w14:solidFill>
              <w14:schemeClr w14:val="tx1"/>
            </w14:solidFill>
          </w14:textFill>
        </w:rPr>
        <w:t>技术服务成果。在指导学生创新创业或学科技能竞赛中取得较好成绩，学生满意度较高。</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5.作为主讲教师</w:t>
      </w:r>
      <w:r>
        <w:rPr>
          <w:rFonts w:hint="eastAsia" w:ascii="仿宋" w:hAnsi="仿宋" w:eastAsia="仿宋"/>
          <w:color w:val="000000" w:themeColor="text1"/>
          <w:kern w:val="0"/>
          <w:szCs w:val="36"/>
          <w14:textFill>
            <w14:solidFill>
              <w14:schemeClr w14:val="tx1"/>
            </w14:solidFill>
          </w14:textFill>
        </w:rPr>
        <w:t>，获</w:t>
      </w:r>
      <w:r>
        <w:rPr>
          <w:rFonts w:ascii="仿宋" w:hAnsi="仿宋" w:eastAsia="仿宋"/>
          <w:color w:val="000000" w:themeColor="text1"/>
          <w:kern w:val="0"/>
          <w:szCs w:val="36"/>
          <w14:textFill>
            <w14:solidFill>
              <w14:schemeClr w14:val="tx1"/>
            </w14:solidFill>
          </w14:textFill>
        </w:rPr>
        <w:t>学校青年教师教学基本功比赛</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教学能力</w:t>
      </w:r>
      <w:r>
        <w:rPr>
          <w:rFonts w:hint="eastAsia" w:ascii="仿宋" w:hAnsi="仿宋" w:eastAsia="仿宋"/>
          <w:color w:val="000000" w:themeColor="text1"/>
          <w:kern w:val="0"/>
          <w:szCs w:val="36"/>
          <w14:textFill>
            <w14:solidFill>
              <w14:schemeClr w14:val="tx1"/>
            </w14:solidFill>
          </w14:textFill>
        </w:rPr>
        <w:t>等</w:t>
      </w:r>
      <w:r>
        <w:rPr>
          <w:rFonts w:ascii="仿宋" w:hAnsi="仿宋" w:eastAsia="仿宋"/>
          <w:color w:val="000000" w:themeColor="text1"/>
          <w:kern w:val="0"/>
          <w:szCs w:val="36"/>
          <w14:textFill>
            <w14:solidFill>
              <w14:schemeClr w14:val="tx1"/>
            </w14:solidFill>
          </w14:textFill>
        </w:rPr>
        <w:t>比赛二等奖</w:t>
      </w:r>
      <w:r>
        <w:rPr>
          <w:rFonts w:hint="eastAsia" w:ascii="仿宋" w:hAnsi="仿宋" w:eastAsia="仿宋"/>
          <w:color w:val="000000" w:themeColor="text1"/>
          <w:kern w:val="0"/>
          <w:szCs w:val="36"/>
          <w14:textFill>
            <w14:solidFill>
              <w14:schemeClr w14:val="tx1"/>
            </w14:solidFill>
          </w14:textFill>
        </w:rPr>
        <w:t>及</w:t>
      </w:r>
      <w:r>
        <w:rPr>
          <w:rFonts w:ascii="仿宋" w:hAnsi="仿宋" w:eastAsia="仿宋"/>
          <w:color w:val="000000" w:themeColor="text1"/>
          <w:kern w:val="0"/>
          <w:szCs w:val="36"/>
          <w14:textFill>
            <w14:solidFill>
              <w14:schemeClr w14:val="tx1"/>
            </w14:solidFill>
          </w14:textFill>
        </w:rPr>
        <w:t>以上，</w:t>
      </w:r>
      <w:r>
        <w:rPr>
          <w:rFonts w:hint="eastAsia" w:ascii="仿宋" w:hAnsi="仿宋" w:eastAsia="仿宋"/>
          <w:color w:val="000000" w:themeColor="text1"/>
          <w:kern w:val="0"/>
          <w:szCs w:val="36"/>
          <w14:textFill>
            <w14:solidFill>
              <w14:schemeClr w14:val="tx1"/>
            </w14:solidFill>
          </w14:textFill>
        </w:rPr>
        <w:t>或获</w:t>
      </w:r>
      <w:r>
        <w:rPr>
          <w:rFonts w:ascii="仿宋" w:hAnsi="仿宋" w:eastAsia="仿宋"/>
          <w:color w:val="000000" w:themeColor="text1"/>
          <w:kern w:val="0"/>
          <w:szCs w:val="36"/>
          <w14:textFill>
            <w14:solidFill>
              <w14:schemeClr w14:val="tx1"/>
            </w14:solidFill>
          </w14:textFill>
        </w:rPr>
        <w:t>安徽省高校教师教学创新大赛</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青年教师教学竞赛</w:t>
      </w:r>
      <w:r>
        <w:rPr>
          <w:rFonts w:hint="eastAsia" w:ascii="仿宋" w:hAnsi="仿宋" w:eastAsia="仿宋"/>
          <w:color w:val="000000" w:themeColor="text1"/>
          <w:kern w:val="0"/>
          <w:szCs w:val="36"/>
          <w14:textFill>
            <w14:solidFill>
              <w14:schemeClr w14:val="tx1"/>
            </w14:solidFill>
          </w14:textFill>
        </w:rPr>
        <w:t>等</w:t>
      </w:r>
      <w:r>
        <w:rPr>
          <w:rFonts w:ascii="仿宋" w:hAnsi="仿宋" w:eastAsia="仿宋"/>
          <w:color w:val="000000" w:themeColor="text1"/>
          <w:kern w:val="0"/>
          <w:szCs w:val="36"/>
          <w14:textFill>
            <w14:solidFill>
              <w14:schemeClr w14:val="tx1"/>
            </w14:solidFill>
          </w14:textFill>
        </w:rPr>
        <w:t>三等奖</w:t>
      </w:r>
      <w:r>
        <w:rPr>
          <w:rFonts w:hint="eastAsia" w:ascii="仿宋" w:hAnsi="仿宋" w:eastAsia="仿宋"/>
          <w:color w:val="000000" w:themeColor="text1"/>
          <w:kern w:val="0"/>
          <w:szCs w:val="36"/>
          <w14:textFill>
            <w14:solidFill>
              <w14:schemeClr w14:val="tx1"/>
            </w14:solidFill>
          </w14:textFill>
        </w:rPr>
        <w:t>及</w:t>
      </w:r>
      <w:r>
        <w:rPr>
          <w:rFonts w:ascii="仿宋" w:hAnsi="仿宋" w:eastAsia="仿宋"/>
          <w:color w:val="000000" w:themeColor="text1"/>
          <w:kern w:val="0"/>
          <w:szCs w:val="36"/>
          <w14:textFill>
            <w14:solidFill>
              <w14:schemeClr w14:val="tx1"/>
            </w14:solidFill>
          </w14:textFill>
        </w:rPr>
        <w:t>以上。</w:t>
      </w:r>
    </w:p>
    <w:p>
      <w:pPr>
        <w:pStyle w:val="4"/>
        <w:spacing w:before="435" w:beforeLines="100" w:after="0" w:line="560" w:lineRule="exact"/>
        <w:ind w:firstLine="723" w:firstLineChars="200"/>
        <w:rPr>
          <w:rFonts w:ascii="仿宋" w:hAnsi="仿宋" w:eastAsia="仿宋"/>
          <w:sz w:val="36"/>
          <w:szCs w:val="36"/>
        </w:rPr>
      </w:pPr>
      <w:bookmarkStart w:id="252" w:name="_Toc82598115"/>
      <w:bookmarkStart w:id="253" w:name="_Toc86068897"/>
      <w:r>
        <w:rPr>
          <w:rFonts w:ascii="仿宋" w:hAnsi="仿宋" w:eastAsia="仿宋"/>
          <w:sz w:val="36"/>
          <w:szCs w:val="36"/>
        </w:rPr>
        <w:t>3-4</w:t>
      </w:r>
      <w:r>
        <w:rPr>
          <w:rFonts w:hint="eastAsia" w:ascii="仿宋" w:hAnsi="仿宋" w:eastAsia="仿宋"/>
          <w:sz w:val="36"/>
          <w:szCs w:val="36"/>
        </w:rPr>
        <w:t>高水平导师</w:t>
      </w:r>
      <w:bookmarkEnd w:id="252"/>
      <w:bookmarkEnd w:id="253"/>
    </w:p>
    <w:p>
      <w:pPr>
        <w:widowControl/>
        <w:adjustRightInd w:val="0"/>
        <w:spacing w:line="440" w:lineRule="exact"/>
        <w:ind w:firstLine="643" w:firstLineChars="200"/>
        <w:jc w:val="left"/>
        <w:rPr>
          <w:rFonts w:ascii="仿宋" w:hAnsi="仿宋" w:eastAsia="仿宋"/>
          <w:b/>
          <w:bCs/>
          <w:color w:val="000000" w:themeColor="text1"/>
          <w:kern w:val="0"/>
          <w:szCs w:val="36"/>
          <w14:textFill>
            <w14:solidFill>
              <w14:schemeClr w14:val="tx1"/>
            </w14:solidFill>
          </w14:textFill>
        </w:rPr>
      </w:pPr>
      <w:r>
        <w:rPr>
          <w:rFonts w:hint="eastAsia" w:ascii="仿宋" w:hAnsi="仿宋" w:eastAsia="仿宋"/>
          <w:b/>
          <w:bCs/>
          <w:color w:val="000000" w:themeColor="text1"/>
          <w:kern w:val="0"/>
          <w:szCs w:val="36"/>
          <w14:textFill>
            <w14:solidFill>
              <w14:schemeClr w14:val="tx1"/>
            </w14:solidFill>
          </w14:textFill>
        </w:rPr>
        <w:t>一、评选范围</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普通高校本学科领域中学术造诣较深且在教学、科研一线岗位上工作、担任研究生导师的教授（或相当专业技术职称），年龄一般不超过</w:t>
      </w:r>
      <w:r>
        <w:rPr>
          <w:rFonts w:ascii="仿宋" w:hAnsi="仿宋" w:eastAsia="仿宋"/>
          <w:color w:val="000000" w:themeColor="text1"/>
          <w:kern w:val="0"/>
          <w:szCs w:val="36"/>
          <w14:textFill>
            <w14:solidFill>
              <w14:schemeClr w14:val="tx1"/>
            </w14:solidFill>
          </w14:textFill>
        </w:rPr>
        <w:t>65</w:t>
      </w:r>
      <w:r>
        <w:rPr>
          <w:rFonts w:hint="eastAsia" w:ascii="仿宋" w:hAnsi="仿宋" w:eastAsia="仿宋"/>
          <w:color w:val="000000" w:themeColor="text1"/>
          <w:kern w:val="0"/>
          <w:szCs w:val="36"/>
          <w14:textFill>
            <w14:solidFill>
              <w14:schemeClr w14:val="tx1"/>
            </w14:solidFill>
          </w14:textFill>
        </w:rPr>
        <w:t>周岁，</w:t>
      </w:r>
      <w:r>
        <w:rPr>
          <w:rFonts w:ascii="仿宋" w:hAnsi="仿宋" w:eastAsia="仿宋"/>
          <w:color w:val="000000" w:themeColor="text1"/>
          <w:kern w:val="0"/>
          <w:szCs w:val="36"/>
          <w14:textFill>
            <w14:solidFill>
              <w14:schemeClr w14:val="tx1"/>
            </w14:solidFill>
          </w14:textFill>
        </w:rPr>
        <w:t>50周岁以下的申请者应具有博士学位。已退休的参评教师须为高校返聘教师，并由高校出具返聘证明。</w:t>
      </w:r>
    </w:p>
    <w:p>
      <w:pPr>
        <w:widowControl/>
        <w:adjustRightInd w:val="0"/>
        <w:spacing w:line="440" w:lineRule="exact"/>
        <w:ind w:firstLine="643" w:firstLineChars="200"/>
        <w:jc w:val="left"/>
        <w:rPr>
          <w:rFonts w:ascii="仿宋" w:hAnsi="仿宋" w:eastAsia="仿宋"/>
          <w:b/>
          <w:bCs/>
          <w:color w:val="000000" w:themeColor="text1"/>
          <w:kern w:val="0"/>
          <w:szCs w:val="36"/>
          <w14:textFill>
            <w14:solidFill>
              <w14:schemeClr w14:val="tx1"/>
            </w14:solidFill>
          </w14:textFill>
        </w:rPr>
      </w:pPr>
      <w:r>
        <w:rPr>
          <w:rFonts w:hint="eastAsia" w:ascii="仿宋" w:hAnsi="仿宋" w:eastAsia="仿宋"/>
          <w:b/>
          <w:bCs/>
          <w:color w:val="000000" w:themeColor="text1"/>
          <w:kern w:val="0"/>
          <w:szCs w:val="36"/>
          <w14:textFill>
            <w14:solidFill>
              <w14:schemeClr w14:val="tx1"/>
            </w14:solidFill>
          </w14:textFill>
        </w:rPr>
        <w:t>二、评选条件</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1.拥护党的基本路线，遵守国家法律、法规和学校规章制度，热爱研究生教育事业，师德良好，治学严谨，严格遵守学术规范，认真履行职责，能培养研究生的学术和实践创新能力。</w:t>
      </w:r>
    </w:p>
    <w:p>
      <w:pPr>
        <w:widowControl/>
        <w:adjustRightInd w:val="0"/>
        <w:spacing w:line="440" w:lineRule="exact"/>
        <w:ind w:firstLine="640" w:firstLineChars="200"/>
        <w:jc w:val="left"/>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2.必须具备下列条件：</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1）学术造诣高。主持过多项国家级以上科研项目，科研成果多，原则上需获得过省级以上科研奖励。出版多部科研专著或发表多篇高质量的科研论文，科研成果的学术意义或社会经济效益大。</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2）注重导师团队建设。自觉指导和帮助中青年教师不断提高导师队伍的科研创新能力和协同创新意识，重视导师队伍建设，作为带头人对形成结构合理的导师梯队、形成本校该领域研究生教育的地位做出重要贡献。</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3）发挥言传身教作用。了解掌握研究生的思想状况，将专业教育与思想政治教育有机融合，既做学业导师又做人生导师；率先垂范，以良好的思想品德和人格魅力影响和鼓舞研究生；培养研究生良好的学风，严格要求学生遵守科学道德和学术规范。</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 xml:space="preserve">4）育人效果好。注重因材施教与学生创新能力的培养，并取得显著成效；其直接指导的学生在科学研究、竞赛、设计、创新实践和社会服务等活动中取得突出成绩，获省部级及以上奖励。“安徽省优秀博士硕士学位论文”入选者优先。 </w:t>
      </w:r>
    </w:p>
    <w:p>
      <w:pPr>
        <w:widowControl/>
        <w:adjustRightInd w:val="0"/>
        <w:spacing w:line="560" w:lineRule="exact"/>
        <w:rPr>
          <w:rFonts w:ascii="仿宋" w:hAnsi="仿宋" w:eastAsia="仿宋"/>
          <w:color w:val="000000" w:themeColor="text1"/>
          <w:kern w:val="0"/>
          <w:szCs w:val="36"/>
          <w14:textFill>
            <w14:solidFill>
              <w14:schemeClr w14:val="tx1"/>
            </w14:solidFill>
          </w14:textFill>
        </w:rPr>
      </w:pPr>
    </w:p>
    <w:p>
      <w:pPr>
        <w:pStyle w:val="3"/>
        <w:spacing w:after="0" w:line="560" w:lineRule="exact"/>
        <w:ind w:firstLine="723" w:firstLineChars="200"/>
        <w:rPr>
          <w:rFonts w:ascii="仿宋" w:hAnsi="仿宋" w:eastAsia="仿宋"/>
          <w:color w:val="000000" w:themeColor="text1"/>
          <w:kern w:val="0"/>
          <w:sz w:val="36"/>
          <w:szCs w:val="36"/>
          <w14:textFill>
            <w14:solidFill>
              <w14:schemeClr w14:val="tx1"/>
            </w14:solidFill>
          </w14:textFill>
        </w:rPr>
      </w:pPr>
      <w:bookmarkStart w:id="254" w:name="_Toc84708558"/>
      <w:bookmarkStart w:id="255" w:name="_Toc86068898"/>
      <w:bookmarkStart w:id="256" w:name="_Toc8785"/>
      <w:bookmarkStart w:id="257" w:name="_Toc49108517"/>
      <w:bookmarkStart w:id="258" w:name="_Toc22307"/>
      <w:bookmarkStart w:id="259" w:name="_Toc12607"/>
      <w:r>
        <w:rPr>
          <w:rFonts w:ascii="仿宋" w:hAnsi="仿宋" w:eastAsia="仿宋"/>
          <w:color w:val="000000" w:themeColor="text1"/>
          <w:kern w:val="0"/>
          <w:sz w:val="36"/>
          <w:szCs w:val="36"/>
          <w14:textFill>
            <w14:solidFill>
              <w14:schemeClr w14:val="tx1"/>
            </w14:solidFill>
          </w14:textFill>
        </w:rPr>
        <w:t>4.实验与实践教学项目</w:t>
      </w:r>
      <w:bookmarkEnd w:id="254"/>
      <w:bookmarkEnd w:id="255"/>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示范实验实训中心、校企合作实践教育基地</w:t>
      </w:r>
      <w:r>
        <w:rPr>
          <w:rFonts w:ascii="仿宋" w:hAnsi="仿宋" w:eastAsia="仿宋"/>
          <w:color w:val="000000" w:themeColor="text1"/>
          <w:kern w:val="0"/>
          <w:szCs w:val="36"/>
          <w14:textFill>
            <w14:solidFill>
              <w14:schemeClr w14:val="tx1"/>
            </w14:solidFill>
          </w14:textFill>
        </w:rPr>
        <w:t>项目各高校</w:t>
      </w:r>
      <w:bookmarkStart w:id="260" w:name="_Hlk84844643"/>
      <w:r>
        <w:rPr>
          <w:rFonts w:ascii="仿宋" w:hAnsi="仿宋" w:eastAsia="仿宋"/>
          <w:color w:val="000000" w:themeColor="text1"/>
          <w:kern w:val="0"/>
          <w:szCs w:val="36"/>
          <w14:textFill>
            <w14:solidFill>
              <w14:schemeClr w14:val="tx1"/>
            </w14:solidFill>
          </w14:textFill>
        </w:rPr>
        <w:t>每</w:t>
      </w:r>
      <w:r>
        <w:rPr>
          <w:rFonts w:hint="eastAsia" w:ascii="仿宋" w:hAnsi="仿宋" w:eastAsia="仿宋"/>
          <w:color w:val="000000" w:themeColor="text1"/>
          <w:kern w:val="0"/>
          <w:szCs w:val="36"/>
          <w14:textFill>
            <w14:solidFill>
              <w14:schemeClr w14:val="tx1"/>
            </w14:solidFill>
          </w14:textFill>
        </w:rPr>
        <w:t>类项目不设限额，但总数不超过分配数</w:t>
      </w:r>
      <w:bookmarkEnd w:id="260"/>
      <w:r>
        <w:rPr>
          <w:rFonts w:hint="eastAsia" w:ascii="仿宋" w:hAnsi="仿宋" w:eastAsia="仿宋"/>
          <w:color w:val="000000" w:themeColor="text1"/>
          <w:kern w:val="0"/>
          <w:szCs w:val="36"/>
          <w14:textFill>
            <w14:solidFill>
              <w14:schemeClr w14:val="tx1"/>
            </w14:solidFill>
          </w14:textFill>
        </w:rPr>
        <w:t>；双创实践教学中心、耕读教育实践基地、全科医学实践教学示范基地、研究生协同育人基地、虚拟教研室项目各高校每类项目原则上限报1项，教育厅将组织专家进行严格评审，择优立项。</w:t>
      </w:r>
    </w:p>
    <w:p>
      <w:pPr>
        <w:pStyle w:val="4"/>
        <w:spacing w:before="435" w:beforeLines="100" w:after="0" w:line="560" w:lineRule="exact"/>
        <w:ind w:firstLine="723" w:firstLineChars="200"/>
        <w:rPr>
          <w:rFonts w:ascii="仿宋" w:hAnsi="仿宋" w:eastAsia="仿宋"/>
          <w:sz w:val="36"/>
          <w:szCs w:val="36"/>
        </w:rPr>
      </w:pPr>
      <w:bookmarkStart w:id="261" w:name="_Toc86068899"/>
      <w:bookmarkStart w:id="262" w:name="_Toc84708559"/>
      <w:r>
        <w:rPr>
          <w:rFonts w:ascii="仿宋" w:hAnsi="仿宋" w:eastAsia="仿宋"/>
          <w:sz w:val="36"/>
          <w:szCs w:val="36"/>
        </w:rPr>
        <w:t>4-1</w:t>
      </w:r>
      <w:bookmarkStart w:id="263" w:name="_Hlk84844367"/>
      <w:r>
        <w:rPr>
          <w:rFonts w:hint="eastAsia" w:ascii="仿宋" w:hAnsi="仿宋" w:eastAsia="仿宋"/>
          <w:sz w:val="36"/>
          <w:szCs w:val="36"/>
        </w:rPr>
        <w:t>示范实验实训中心</w:t>
      </w:r>
      <w:bookmarkEnd w:id="261"/>
      <w:bookmarkEnd w:id="262"/>
      <w:bookmarkEnd w:id="263"/>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通过建设，使示范实验实训中心达到国内先进水平，成为培养</w:t>
      </w:r>
      <w:r>
        <w:rPr>
          <w:rFonts w:ascii="仿宋" w:hAnsi="仿宋" w:eastAsia="仿宋"/>
          <w:kern w:val="0"/>
          <w:szCs w:val="36"/>
        </w:rPr>
        <w:t>创新型、</w:t>
      </w:r>
      <w:r>
        <w:rPr>
          <w:rFonts w:ascii="仿宋" w:hAnsi="仿宋" w:eastAsia="仿宋"/>
          <w:color w:val="000000" w:themeColor="text1"/>
          <w:kern w:val="0"/>
          <w:szCs w:val="36"/>
          <w14:textFill>
            <w14:solidFill>
              <w14:schemeClr w14:val="tx1"/>
            </w14:solidFill>
          </w14:textFill>
        </w:rPr>
        <w:t>应用型人才的基地，成为知识创新和推动科研成果向现实生产力转化的中心，辐射、带动全省高校进一步提升综合实力、办学活力和服务能力，实现高等教育强省建设目标。</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紧密围绕我省社会急需、量大面广的应用型学科专业，由一所或几所高校集中优势力量建设示范实验实训中心，形成优质资源融合，教学科研结合，学校与社会联合培养人才的实践教学新模式，强化大学生实践能力、创新能力培养。同时面向省内其它高校和社会开放，共享优质实习实训资源。省级示范实验实训中心的具体建设内容为：</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1.先进的实验实训教学观念。教育理念和教学指导思想先进，坚持传授知识、培养能力、提高素质协调发展，注重对学生探索精神、科学思维、实践能力、创新能力，综合运用知识解决复杂问题能力的培养。</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先进的实验实训教学体系、内容和方法。以培养优秀的创新型、应用型、复合型人才为目标，建立以能力培养为主线，分层次、多模块、相互衔接的科学系统的实验实训教学体系。实验实训教学内容与科研、应用等的密切联系，培养学生科学研究能力，解决实际问题能力，形成良性互动。建立多元的实验实训考核方法和教学模式，促进学生自主学习、合作学习、研究性学习。</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合作共建高水平的实验实训教学队伍。高校与科研院所、行业企业签订责、权、利明确的合作协议，合作建设实验实训教学队伍。制定相应的政策，采取有效的措施，鼓励科研院所，行业企业接收教师培训和参与科研工作，鼓励科研院所、行业企业管理人员、高级技术人员投入学校实验实训教学工作。建设实验实训教学与行业、企业互通，教学、科研、技术兼容，核心骨干相对稳定，结构合理的实验实训教学团队。建立实验实训教学队伍知识、技术不断更新的科学有效的培养培训制度。</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先进的实验室和实训基地建设模式和管理体制。依据学校、学科、专业和行业、企业的特点，整合实验实训教学资源，建设面向多学科、多专业的实验实训教学中心。理顺实验实训教学中心的管理体制，实行中心主任负责制，统筹安排、调配、使用实验实训教学资源和相关教育资源，实现优质资源共享。</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先进的运行机制和管理方式。建立网络化的实验实训教学和管理信息平台，实现网上辅助教学和网络化、智能化管理。建立有利于激励学生学习和提高学生能力的有效管理机制，创造学生自主训练、个性化学习的实验实训环境。建立实验实训教学的科学评价机制，引导教师积极改革创新。</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申报人原则上应为学校实验中心负责人，具备副教授以上职称或博士学位。示范中心实验实训场所应相对集中，仪器设备配置具有一定的前瞻性，品质精良，组合优化，数量充足，满足现代实验实训教学的要求。实验室和实训基地环境、安全、环保符合国家规范，未发生安全责任事故。设计人性化，具备信息化、网络化、智能化条件，运行维护保障措施得力，适应开放管理和学生自主学习的需要。</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申报学校应成立由校级领导牵头，教务、人事、财务、学科、实验室管理等部门参加的示范中心建设和运行管理委员会，负责落实条件保障、日常监督管理和年度考核等工作，协调解决示范中心发展中的重大问题，建立实验实训教学开放运行的政策、经费、人事等保障机制，完善实验实训教学质量保证体系。省级示范实验实训中心实行高等学校领导下的主任负责制，申报高校应公开聘任本领域高水平全职教学科研人才担任示范中心主任。</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3.已获得中央财政支持的实训基地、省级基础课实验教学示范中心以及省级示范实验实训中心，原则上不再重复申报省级示范实验实训中心建设项目。</w:t>
      </w:r>
    </w:p>
    <w:p>
      <w:pPr>
        <w:pStyle w:val="4"/>
        <w:spacing w:before="435" w:beforeLines="100" w:after="0" w:line="560" w:lineRule="exact"/>
        <w:ind w:firstLine="723" w:firstLineChars="200"/>
        <w:rPr>
          <w:rFonts w:ascii="仿宋" w:hAnsi="仿宋" w:eastAsia="仿宋"/>
          <w:sz w:val="36"/>
          <w:szCs w:val="36"/>
        </w:rPr>
      </w:pPr>
      <w:bookmarkStart w:id="264" w:name="_Toc86068900"/>
      <w:r>
        <w:rPr>
          <w:rFonts w:ascii="仿宋" w:hAnsi="仿宋" w:eastAsia="仿宋"/>
          <w:sz w:val="36"/>
          <w:szCs w:val="36"/>
        </w:rPr>
        <w:t xml:space="preserve">4-2 </w:t>
      </w:r>
      <w:r>
        <w:rPr>
          <w:rFonts w:hint="eastAsia" w:ascii="仿宋" w:hAnsi="仿宋" w:eastAsia="仿宋"/>
          <w:sz w:val="36"/>
          <w:szCs w:val="36"/>
        </w:rPr>
        <w:t>双创实践教学中心</w:t>
      </w:r>
      <w:bookmarkEnd w:id="264"/>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坚持立德树人，搭建开放共享的大学生创新创业实践教育全流程服务平台，建设一批布局合理、机制灵活、开放共享、特色鲜明、达到国内先进水平的省级双创实践教育中心，基本覆盖全省所有类型高校，形成一批可复制、可推广具有示范效应的创新创业实践教育模式和典型经验，开创创新创业教育蓬勃发展的良好局面，为高素质创新创业人才培养奠定坚实基础，全面提升大学生创新创业实践能力。</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先进的教育教学理念。创新创业教育理念和顶层设计科学先进，具有清晰的契合学校办学定位的创新创业教育发展和人才培养目标。积极推进创新创业教育改革，创新创业教育培养目标定位精准，明确提出面向全体师生的创新创业教育理念。培养过程与教学内容贯彻落实到位，实现专业教育和双创教育深度融合，统筹协调创新创业理论、实践训练、指导服务、成果展示、资源对接、孵化转化等教学环节，构建创新创业教育体系。</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制定一系列创新创业教育管理制度并持续改进，建立健全开放共享机制，承担人才培养方案所需要的各项创新创业教学任务，全方位整合专业创新实验室、主题创新区等校内实践教学平台，集聚利用创业园、科技园、孵化器等校外创新创业实践基地的专业化资源，提供开放式、公益性的创新创业实践教育场所，面向全体学生开展创新创业实践教育。</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建立完备、贯通、互动的创新创业实践教育体系，推动创新和创业、理论和实践、训练和实战相结合，深入实施大学生创新创业训练计划，积极组织“互联网</w:t>
      </w:r>
      <w:r>
        <w:rPr>
          <w:rFonts w:ascii="仿宋" w:hAnsi="仿宋" w:eastAsia="仿宋"/>
          <w:color w:val="000000" w:themeColor="text1"/>
          <w:kern w:val="0"/>
          <w:szCs w:val="36"/>
          <w14:textFill>
            <w14:solidFill>
              <w14:schemeClr w14:val="tx1"/>
            </w14:solidFill>
          </w14:textFill>
        </w:rPr>
        <w:t>+”大学生创新创业大赛等各类创新创业竞赛和创新创业沙龙、创新创业过程辅导等活动，助力创新创业项目孵化转化，提供多种模式的项目实践机会，帮助大学生提高创新创业实践能力</w:t>
      </w:r>
      <w:r>
        <w:rPr>
          <w:rFonts w:hint="eastAsia" w:ascii="仿宋" w:hAnsi="仿宋" w:eastAsia="仿宋"/>
          <w:color w:val="000000" w:themeColor="text1"/>
          <w:kern w:val="0"/>
          <w:szCs w:val="36"/>
          <w14:textFill>
            <w14:solidFill>
              <w14:schemeClr w14:val="tx1"/>
            </w14:solidFill>
          </w14:textFill>
        </w:rPr>
        <w:t>。</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建立由高校专职创新创业教师、专业教师和企事业单位的专业技术人员、企业高管、天使投资人、创投机构、投融资管理人员等兼职教师共同组成的师资队伍。专业教师具备专业领域创新创业实践经历，部分教师具备一定年限的企事业单位工作经历，能够为学生提供模拟创业实践的指导，企事业单位兼职教师具有丰富的创新创业实践经验，师资队伍相对稳定，年龄、职称、知识、能力结构合理。</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建立统一的具有开放性、扩展性、兼容性、前瞻性的创新创业教育信息化管理平台，实现创新创业项目的信息化管理，具有丰富的创新创业在线开放教育资源，能满足管理、竞赛、培训、交流、展示、孵化等需要，实现校内外教学资源共享，线上线下协同配合。</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申报人具备副教授以上职称或博士学位。双创实践教育中心具有独立运行的场地，主体面积不少于</w:t>
      </w:r>
      <w:r>
        <w:rPr>
          <w:rFonts w:ascii="仿宋" w:hAnsi="仿宋" w:eastAsia="仿宋"/>
          <w:color w:val="000000" w:themeColor="text1"/>
          <w:kern w:val="0"/>
          <w:szCs w:val="36"/>
          <w14:textFill>
            <w14:solidFill>
              <w14:schemeClr w14:val="tx1"/>
            </w14:solidFill>
          </w14:textFill>
        </w:rPr>
        <w:t>1000平方米，校内总面积不少于2000平方米。</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申报学校应成立创新创业领导机构，形成创新创业教育工作协同机制，在教务部门或独立设置的创新创业学院牵头下，在学工、就业、团委、科技、科技园等多部门协同下开展创新创业教育，明确专人负责。</w:t>
      </w:r>
    </w:p>
    <w:p>
      <w:pPr>
        <w:widowControl/>
        <w:adjustRightInd w:val="0"/>
        <w:snapToGrid w:val="0"/>
        <w:spacing w:line="560" w:lineRule="exact"/>
        <w:ind w:firstLine="482" w:firstLineChars="200"/>
        <w:rPr>
          <w:rFonts w:ascii="仿宋" w:hAnsi="仿宋" w:eastAsia="仿宋"/>
          <w:b/>
          <w:color w:val="000000" w:themeColor="text1"/>
          <w:kern w:val="0"/>
          <w:sz w:val="24"/>
          <w14:textFill>
            <w14:solidFill>
              <w14:schemeClr w14:val="tx1"/>
            </w14:solidFill>
          </w14:textFill>
        </w:rPr>
      </w:pPr>
    </w:p>
    <w:p>
      <w:pPr>
        <w:widowControl/>
        <w:adjustRightInd w:val="0"/>
        <w:snapToGrid w:val="0"/>
        <w:spacing w:line="360" w:lineRule="auto"/>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color w:val="000000" w:themeColor="text1"/>
          <w:kern w:val="0"/>
          <w:sz w:val="24"/>
          <w14:textFill>
            <w14:solidFill>
              <w14:schemeClr w14:val="tx1"/>
            </w14:solidFill>
          </w14:textFill>
        </w:rPr>
        <w:t>表4:</w:t>
      </w:r>
      <w:bookmarkStart w:id="265" w:name="_Hlk84853422"/>
      <w:r>
        <w:rPr>
          <w:rFonts w:ascii="仿宋" w:hAnsi="仿宋" w:eastAsia="仿宋"/>
          <w:b/>
          <w:color w:val="000000" w:themeColor="text1"/>
          <w:kern w:val="0"/>
          <w:sz w:val="24"/>
          <w14:textFill>
            <w14:solidFill>
              <w14:schemeClr w14:val="tx1"/>
            </w14:solidFill>
          </w14:textFill>
        </w:rPr>
        <w:t>安徽省</w:t>
      </w:r>
      <w:r>
        <w:rPr>
          <w:rFonts w:hint="eastAsia" w:ascii="仿宋" w:hAnsi="仿宋" w:eastAsia="仿宋"/>
          <w:b/>
          <w:bCs/>
          <w:color w:val="000000" w:themeColor="text1"/>
          <w:kern w:val="0"/>
          <w:sz w:val="24"/>
          <w14:textFill>
            <w14:solidFill>
              <w14:schemeClr w14:val="tx1"/>
            </w14:solidFill>
          </w14:textFill>
        </w:rPr>
        <w:t>大学生创新创业实践教育中心遴选和建设指标</w:t>
      </w:r>
      <w:bookmarkEnd w:id="265"/>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1271" w:type="dxa"/>
            <w:vAlign w:val="center"/>
          </w:tcPr>
          <w:p>
            <w:pPr>
              <w:adjustRightInd w:val="0"/>
              <w:snapToGrid w:val="0"/>
              <w:jc w:val="center"/>
              <w:rPr>
                <w:rFonts w:ascii="仿宋" w:hAnsi="仿宋" w:eastAsia="仿宋"/>
                <w:b/>
                <w:bCs/>
                <w:sz w:val="24"/>
              </w:rPr>
            </w:pPr>
            <w:r>
              <w:rPr>
                <w:rFonts w:hint="eastAsia" w:ascii="仿宋" w:hAnsi="仿宋" w:eastAsia="仿宋"/>
                <w:b/>
                <w:bCs/>
                <w:sz w:val="24"/>
              </w:rPr>
              <w:t>一级指标</w:t>
            </w:r>
          </w:p>
        </w:tc>
        <w:tc>
          <w:tcPr>
            <w:tcW w:w="1418" w:type="dxa"/>
            <w:vAlign w:val="center"/>
          </w:tcPr>
          <w:p>
            <w:pPr>
              <w:adjustRightInd w:val="0"/>
              <w:snapToGrid w:val="0"/>
              <w:jc w:val="center"/>
              <w:rPr>
                <w:rFonts w:ascii="仿宋" w:hAnsi="仿宋" w:eastAsia="仿宋"/>
                <w:b/>
                <w:bCs/>
                <w:sz w:val="24"/>
              </w:rPr>
            </w:pPr>
            <w:r>
              <w:rPr>
                <w:rFonts w:hint="eastAsia" w:ascii="仿宋" w:hAnsi="仿宋" w:eastAsia="仿宋"/>
                <w:b/>
                <w:bCs/>
                <w:sz w:val="24"/>
              </w:rPr>
              <w:t>二级指标</w:t>
            </w:r>
          </w:p>
        </w:tc>
        <w:tc>
          <w:tcPr>
            <w:tcW w:w="6095" w:type="dxa"/>
            <w:vAlign w:val="center"/>
          </w:tcPr>
          <w:p>
            <w:pPr>
              <w:adjustRightInd w:val="0"/>
              <w:snapToGrid w:val="0"/>
              <w:jc w:val="center"/>
              <w:rPr>
                <w:rFonts w:ascii="仿宋" w:hAnsi="仿宋" w:eastAsia="仿宋"/>
                <w:b/>
                <w:bCs/>
                <w:sz w:val="24"/>
              </w:rPr>
            </w:pPr>
            <w:r>
              <w:rPr>
                <w:rFonts w:hint="eastAsia" w:ascii="仿宋" w:hAnsi="仿宋" w:eastAsia="仿宋"/>
                <w:b/>
                <w:bCs/>
                <w:sz w:val="24"/>
              </w:rPr>
              <w:t>指标内涵及主要观测点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71" w:type="dxa"/>
            <w:vMerge w:val="restart"/>
            <w:vAlign w:val="center"/>
          </w:tcPr>
          <w:p>
            <w:pPr>
              <w:jc w:val="center"/>
              <w:rPr>
                <w:rFonts w:ascii="仿宋" w:hAnsi="仿宋" w:eastAsia="仿宋"/>
                <w:b/>
                <w:sz w:val="24"/>
              </w:rPr>
            </w:pPr>
            <w:r>
              <w:rPr>
                <w:rFonts w:hint="eastAsia" w:ascii="仿宋" w:hAnsi="仿宋" w:eastAsia="仿宋"/>
                <w:b/>
                <w:sz w:val="24"/>
              </w:rPr>
              <w:t>教育教学</w:t>
            </w:r>
          </w:p>
        </w:tc>
        <w:tc>
          <w:tcPr>
            <w:tcW w:w="1418" w:type="dxa"/>
            <w:vAlign w:val="center"/>
          </w:tcPr>
          <w:p>
            <w:pPr>
              <w:ind w:firstLine="60" w:firstLineChars="25"/>
              <w:jc w:val="center"/>
              <w:rPr>
                <w:rFonts w:ascii="仿宋" w:hAnsi="仿宋" w:eastAsia="仿宋"/>
                <w:b/>
                <w:sz w:val="24"/>
              </w:rPr>
            </w:pPr>
            <w:r>
              <w:rPr>
                <w:rFonts w:hint="eastAsia" w:ascii="仿宋" w:hAnsi="仿宋" w:eastAsia="仿宋"/>
                <w:b/>
                <w:sz w:val="24"/>
              </w:rPr>
              <w:t>教学理念与改革思路</w:t>
            </w:r>
          </w:p>
        </w:tc>
        <w:tc>
          <w:tcPr>
            <w:tcW w:w="6095" w:type="dxa"/>
            <w:vAlign w:val="center"/>
          </w:tcPr>
          <w:p>
            <w:pPr>
              <w:adjustRightInd w:val="0"/>
              <w:snapToGrid w:val="0"/>
              <w:rPr>
                <w:rFonts w:ascii="仿宋" w:hAnsi="仿宋" w:eastAsia="仿宋"/>
                <w:sz w:val="24"/>
              </w:rPr>
            </w:pPr>
            <w:r>
              <w:rPr>
                <w:rFonts w:hint="eastAsia" w:ascii="仿宋" w:hAnsi="仿宋" w:eastAsia="仿宋" w:cs="宋体"/>
                <w:sz w:val="24"/>
              </w:rPr>
              <w:t>①</w:t>
            </w:r>
            <w:r>
              <w:rPr>
                <w:rFonts w:ascii="仿宋" w:hAnsi="仿宋" w:eastAsia="仿宋"/>
                <w:sz w:val="24"/>
              </w:rPr>
              <w:t>创新创业教育理念和顶层设计科学先进，具有清晰的契合学校办学定位的创新创业教育发展和人才培养目标，积极推进创新创业教育改革，深化与地方政府、行业组织及企事业单位的合作，相关政策配套落实到位</w:t>
            </w:r>
          </w:p>
          <w:p>
            <w:pPr>
              <w:adjustRightInd w:val="0"/>
              <w:snapToGrid w:val="0"/>
              <w:rPr>
                <w:rFonts w:ascii="仿宋" w:hAnsi="仿宋" w:eastAsia="仿宋"/>
                <w:sz w:val="24"/>
              </w:rPr>
            </w:pPr>
            <w:r>
              <w:rPr>
                <w:rFonts w:hint="eastAsia" w:ascii="仿宋" w:hAnsi="仿宋" w:eastAsia="仿宋" w:cs="宋体"/>
                <w:sz w:val="24"/>
              </w:rPr>
              <w:t>②</w:t>
            </w:r>
            <w:r>
              <w:rPr>
                <w:rFonts w:hint="eastAsia" w:ascii="仿宋" w:hAnsi="仿宋" w:eastAsia="仿宋"/>
                <w:sz w:val="24"/>
              </w:rPr>
              <w:t>创新创业教育改革思路清晰，改革路径明确，教学模式创新，与合作单位等共同制订培养目标和方案，可操作性强</w:t>
            </w:r>
          </w:p>
          <w:p>
            <w:pPr>
              <w:adjustRightInd w:val="0"/>
              <w:snapToGrid w:val="0"/>
              <w:rPr>
                <w:rFonts w:ascii="仿宋" w:hAnsi="仿宋" w:eastAsia="仿宋"/>
                <w:sz w:val="24"/>
              </w:rPr>
            </w:pPr>
            <w:r>
              <w:rPr>
                <w:rFonts w:hint="eastAsia" w:ascii="仿宋" w:hAnsi="仿宋" w:eastAsia="仿宋" w:cs="宋体"/>
                <w:sz w:val="24"/>
              </w:rPr>
              <w:t>③</w:t>
            </w:r>
            <w:r>
              <w:rPr>
                <w:rFonts w:hint="eastAsia" w:ascii="仿宋" w:hAnsi="仿宋" w:eastAsia="仿宋"/>
                <w:sz w:val="24"/>
              </w:rPr>
              <w:t>创新创业教育培养目标定位精准，并落实到专业人才培养目标与毕业要求；培养过程与教学内容贯彻落实到位，实现专业教育和双创教育深度融合；统筹协调创新创业理论、实践训练、指导服务、成果展示、资源对接、孵化转化等教学环节</w:t>
            </w:r>
          </w:p>
          <w:p>
            <w:pPr>
              <w:adjustRightInd w:val="0"/>
              <w:snapToGrid w:val="0"/>
              <w:rPr>
                <w:rFonts w:ascii="仿宋" w:hAnsi="仿宋" w:eastAsia="仿宋"/>
                <w:sz w:val="24"/>
              </w:rPr>
            </w:pPr>
            <w:r>
              <w:rPr>
                <w:rFonts w:hint="eastAsia" w:ascii="仿宋" w:hAnsi="仿宋" w:eastAsia="仿宋" w:cs="宋体"/>
                <w:sz w:val="24"/>
              </w:rPr>
              <w:t>④</w:t>
            </w:r>
            <w:r>
              <w:rPr>
                <w:rFonts w:hint="eastAsia" w:ascii="仿宋" w:hAnsi="仿宋" w:eastAsia="仿宋"/>
                <w:sz w:val="24"/>
              </w:rPr>
              <w:t>开展创新创业教育专项课题研究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71" w:type="dxa"/>
            <w:vMerge w:val="continue"/>
            <w:vAlign w:val="center"/>
          </w:tcPr>
          <w:p>
            <w:pPr>
              <w:jc w:val="center"/>
              <w:rPr>
                <w:rFonts w:ascii="仿宋" w:hAnsi="仿宋" w:eastAsia="仿宋"/>
                <w:b/>
                <w:sz w:val="24"/>
              </w:rPr>
            </w:pPr>
          </w:p>
        </w:tc>
        <w:tc>
          <w:tcPr>
            <w:tcW w:w="1418" w:type="dxa"/>
            <w:vAlign w:val="center"/>
          </w:tcPr>
          <w:p>
            <w:pPr>
              <w:ind w:firstLine="60" w:firstLineChars="25"/>
              <w:jc w:val="center"/>
              <w:rPr>
                <w:rFonts w:ascii="仿宋" w:hAnsi="仿宋" w:eastAsia="仿宋"/>
                <w:b/>
                <w:sz w:val="24"/>
              </w:rPr>
            </w:pPr>
            <w:r>
              <w:rPr>
                <w:rFonts w:hint="eastAsia" w:ascii="仿宋" w:hAnsi="仿宋" w:eastAsia="仿宋"/>
                <w:b/>
                <w:sz w:val="24"/>
              </w:rPr>
              <w:t>教学体系与教学内容</w:t>
            </w:r>
          </w:p>
        </w:tc>
        <w:tc>
          <w:tcPr>
            <w:tcW w:w="6095" w:type="dxa"/>
            <w:vAlign w:val="center"/>
          </w:tcPr>
          <w:p>
            <w:pPr>
              <w:adjustRightInd w:val="0"/>
              <w:snapToGrid w:val="0"/>
              <w:rPr>
                <w:rFonts w:ascii="仿宋" w:hAnsi="仿宋" w:eastAsia="仿宋"/>
                <w:sz w:val="24"/>
              </w:rPr>
            </w:pPr>
            <w:r>
              <w:rPr>
                <w:rFonts w:hint="eastAsia" w:ascii="仿宋" w:hAnsi="仿宋" w:eastAsia="仿宋" w:cs="宋体"/>
                <w:sz w:val="24"/>
              </w:rPr>
              <w:t>①</w:t>
            </w:r>
            <w:r>
              <w:rPr>
                <w:rFonts w:hint="eastAsia" w:ascii="仿宋" w:hAnsi="仿宋" w:eastAsia="仿宋"/>
                <w:sz w:val="24"/>
              </w:rPr>
              <w:t>建立以能力培养为核心、多层次、多元化的创新创业教学体系。建设选修必修、理论实践、课内课外、线上线下、校内校外相结合，与专业相融合的课程体系。将创新创业教育相关讲座、专题培训、创新创业实践、社会调查、社会实践等纳入人才培养学分体系</w:t>
            </w:r>
          </w:p>
          <w:p>
            <w:pPr>
              <w:adjustRightInd w:val="0"/>
              <w:snapToGrid w:val="0"/>
              <w:rPr>
                <w:rFonts w:ascii="仿宋" w:hAnsi="仿宋" w:eastAsia="仿宋"/>
                <w:sz w:val="24"/>
              </w:rPr>
            </w:pPr>
            <w:r>
              <w:rPr>
                <w:rFonts w:hint="eastAsia" w:ascii="仿宋" w:hAnsi="仿宋" w:eastAsia="仿宋" w:cs="宋体"/>
                <w:sz w:val="24"/>
              </w:rPr>
              <w:t>②</w:t>
            </w:r>
            <w:r>
              <w:rPr>
                <w:rFonts w:hint="eastAsia" w:ascii="仿宋" w:hAnsi="仿宋" w:eastAsia="仿宋"/>
                <w:sz w:val="24"/>
              </w:rPr>
              <w:t>校企联合制订创新创业教育培养方案和考核要求，共同制定评价标准与实施创新创业教育教学考核与评价</w:t>
            </w:r>
          </w:p>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3 \* GB3 </w:instrText>
            </w:r>
            <w:r>
              <w:rPr>
                <w:rFonts w:hint="eastAsia" w:ascii="仿宋" w:hAnsi="仿宋" w:eastAsia="仿宋"/>
                <w:sz w:val="24"/>
              </w:rPr>
              <w:fldChar w:fldCharType="separate"/>
            </w:r>
            <w:r>
              <w:rPr>
                <w:rFonts w:hint="eastAsia" w:ascii="仿宋" w:hAnsi="仿宋" w:eastAsia="仿宋" w:cs="宋体"/>
                <w:sz w:val="24"/>
              </w:rPr>
              <w:t>③</w:t>
            </w:r>
            <w:r>
              <w:rPr>
                <w:rFonts w:hint="eastAsia" w:ascii="仿宋" w:hAnsi="仿宋" w:eastAsia="仿宋"/>
                <w:sz w:val="24"/>
              </w:rPr>
              <w:fldChar w:fldCharType="end"/>
            </w:r>
            <w:r>
              <w:rPr>
                <w:rFonts w:hint="eastAsia" w:ascii="仿宋" w:hAnsi="仿宋" w:eastAsia="仿宋"/>
                <w:kern w:val="0"/>
                <w:sz w:val="24"/>
              </w:rPr>
              <w:t>面向全体学生开设研究方法、学科前沿、创业基础、就业创业指导等方面的理论课，教学内容注重模拟和利用创新创业真实环境，注重理论联系实际，注重实训与实战及创新创业能力培养</w:t>
            </w:r>
          </w:p>
          <w:p>
            <w:pPr>
              <w:adjustRightInd w:val="0"/>
              <w:snapToGrid w:val="0"/>
              <w:rPr>
                <w:rFonts w:ascii="仿宋" w:hAnsi="仿宋" w:eastAsia="仿宋"/>
                <w:kern w:val="0"/>
                <w:sz w:val="24"/>
              </w:rPr>
            </w:pPr>
            <w:r>
              <w:rPr>
                <w:rFonts w:hint="eastAsia" w:ascii="仿宋" w:hAnsi="仿宋" w:eastAsia="仿宋" w:cs="宋体"/>
                <w:kern w:val="0"/>
                <w:sz w:val="24"/>
              </w:rPr>
              <w:t>④</w:t>
            </w:r>
            <w:r>
              <w:rPr>
                <w:rFonts w:hint="eastAsia" w:ascii="仿宋" w:hAnsi="仿宋" w:eastAsia="仿宋"/>
                <w:kern w:val="0"/>
                <w:sz w:val="24"/>
              </w:rPr>
              <w:t>在校外实践教育基地开设创新创业实践教学，将行业企业实际项目嵌入高校创新创业教学体系，学生积极参与企业实际创新创业项目训练</w:t>
            </w:r>
          </w:p>
          <w:p>
            <w:pPr>
              <w:adjustRightInd w:val="0"/>
              <w:snapToGrid w:val="0"/>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 5 \* GB3 </w:instrText>
            </w:r>
            <w:r>
              <w:rPr>
                <w:rFonts w:ascii="仿宋" w:hAnsi="仿宋" w:eastAsia="仿宋"/>
                <w:kern w:val="0"/>
                <w:sz w:val="24"/>
              </w:rPr>
              <w:fldChar w:fldCharType="separate"/>
            </w:r>
            <w:r>
              <w:rPr>
                <w:rFonts w:hint="eastAsia" w:ascii="仿宋" w:hAnsi="仿宋" w:eastAsia="仿宋" w:cs="宋体"/>
                <w:kern w:val="0"/>
                <w:sz w:val="24"/>
              </w:rPr>
              <w:t>⑤</w:t>
            </w:r>
            <w:r>
              <w:rPr>
                <w:rFonts w:ascii="仿宋" w:hAnsi="仿宋" w:eastAsia="仿宋"/>
                <w:kern w:val="0"/>
                <w:sz w:val="24"/>
              </w:rPr>
              <w:fldChar w:fldCharType="end"/>
            </w:r>
            <w:r>
              <w:rPr>
                <w:rFonts w:hint="eastAsia" w:ascii="仿宋" w:hAnsi="仿宋" w:eastAsia="仿宋"/>
                <w:kern w:val="0"/>
                <w:sz w:val="24"/>
              </w:rPr>
              <w:t>自主编写创新创业教学相关教材，建立案例库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71" w:type="dxa"/>
            <w:vMerge w:val="continue"/>
            <w:vAlign w:val="center"/>
          </w:tcPr>
          <w:p>
            <w:pPr>
              <w:spacing w:before="217" w:beforeLines="50"/>
              <w:jc w:val="center"/>
              <w:rPr>
                <w:rFonts w:ascii="仿宋" w:hAnsi="仿宋" w:eastAsia="仿宋"/>
                <w:b/>
                <w:sz w:val="24"/>
              </w:rPr>
            </w:pPr>
          </w:p>
        </w:tc>
        <w:tc>
          <w:tcPr>
            <w:tcW w:w="1418" w:type="dxa"/>
            <w:vAlign w:val="center"/>
          </w:tcPr>
          <w:p>
            <w:pPr>
              <w:ind w:firstLine="60" w:firstLineChars="25"/>
              <w:jc w:val="center"/>
              <w:rPr>
                <w:rFonts w:ascii="仿宋" w:hAnsi="仿宋" w:eastAsia="仿宋"/>
                <w:b/>
                <w:sz w:val="24"/>
              </w:rPr>
            </w:pPr>
            <w:r>
              <w:rPr>
                <w:rFonts w:hint="eastAsia" w:ascii="仿宋" w:hAnsi="仿宋" w:eastAsia="仿宋"/>
                <w:b/>
                <w:sz w:val="24"/>
              </w:rPr>
              <w:t>教学方法与教学手段</w:t>
            </w:r>
          </w:p>
        </w:tc>
        <w:tc>
          <w:tcPr>
            <w:tcW w:w="6095" w:type="dxa"/>
            <w:vAlign w:val="center"/>
          </w:tcPr>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1 \* GB3 </w:instrText>
            </w:r>
            <w:r>
              <w:rPr>
                <w:rFonts w:hint="eastAsia" w:ascii="仿宋" w:hAnsi="仿宋" w:eastAsia="仿宋"/>
                <w:sz w:val="24"/>
              </w:rPr>
              <w:fldChar w:fldCharType="separate"/>
            </w:r>
            <w:r>
              <w:rPr>
                <w:rFonts w:hint="eastAsia" w:ascii="仿宋" w:hAnsi="仿宋" w:eastAsia="仿宋" w:cs="宋体"/>
                <w:sz w:val="24"/>
              </w:rPr>
              <w:t>①</w:t>
            </w:r>
            <w:r>
              <w:rPr>
                <w:rFonts w:hint="eastAsia" w:ascii="仿宋" w:hAnsi="仿宋" w:eastAsia="仿宋"/>
                <w:sz w:val="24"/>
              </w:rPr>
              <w:fldChar w:fldCharType="end"/>
            </w:r>
            <w:r>
              <w:rPr>
                <w:rFonts w:hint="eastAsia" w:ascii="仿宋" w:hAnsi="仿宋" w:eastAsia="仿宋"/>
                <w:sz w:val="24"/>
              </w:rPr>
              <w:t>开展启发式、讨论式、参与式、协作式、小班化和线上线下混合式教学改革和以学生为中心的跨学科、跨专业的项目式学习</w:t>
            </w:r>
          </w:p>
          <w:p>
            <w:pPr>
              <w:adjustRightInd w:val="0"/>
              <w:snapToGrid w:val="0"/>
              <w:rPr>
                <w:rFonts w:ascii="仿宋" w:hAnsi="仿宋" w:eastAsia="仿宋"/>
                <w:kern w:val="0"/>
                <w:sz w:val="24"/>
              </w:rPr>
            </w:pPr>
            <w:r>
              <w:rPr>
                <w:rFonts w:hint="eastAsia" w:ascii="仿宋" w:hAnsi="仿宋" w:eastAsia="仿宋"/>
                <w:sz w:val="24"/>
              </w:rPr>
              <w:fldChar w:fldCharType="begin"/>
            </w:r>
            <w:r>
              <w:rPr>
                <w:rFonts w:ascii="仿宋" w:hAnsi="仿宋" w:eastAsia="仿宋"/>
                <w:sz w:val="24"/>
              </w:rPr>
              <w:instrText xml:space="preserve"> = 2 \* GB3 </w:instrText>
            </w:r>
            <w:r>
              <w:rPr>
                <w:rFonts w:hint="eastAsia" w:ascii="仿宋" w:hAnsi="仿宋" w:eastAsia="仿宋"/>
                <w:sz w:val="24"/>
              </w:rPr>
              <w:fldChar w:fldCharType="separate"/>
            </w:r>
            <w:r>
              <w:rPr>
                <w:rFonts w:hint="eastAsia" w:ascii="仿宋" w:hAnsi="仿宋" w:eastAsia="仿宋" w:cs="宋体"/>
                <w:sz w:val="24"/>
              </w:rPr>
              <w:t>②</w:t>
            </w:r>
            <w:r>
              <w:rPr>
                <w:rFonts w:hint="eastAsia" w:ascii="仿宋" w:hAnsi="仿宋" w:eastAsia="仿宋"/>
                <w:sz w:val="24"/>
              </w:rPr>
              <w:fldChar w:fldCharType="end"/>
            </w:r>
            <w:r>
              <w:rPr>
                <w:rFonts w:hint="eastAsia" w:ascii="仿宋" w:hAnsi="仿宋" w:eastAsia="仿宋"/>
                <w:sz w:val="24"/>
              </w:rPr>
              <w:t>教学手段先进，引入现代技术，融合多种方式辅助实践教学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71" w:type="dxa"/>
            <w:vMerge w:val="continue"/>
            <w:vAlign w:val="center"/>
          </w:tcPr>
          <w:p>
            <w:pPr>
              <w:spacing w:before="217" w:beforeLines="50"/>
              <w:jc w:val="center"/>
              <w:rPr>
                <w:rFonts w:ascii="仿宋" w:hAnsi="仿宋" w:eastAsia="仿宋"/>
                <w:b/>
                <w:sz w:val="24"/>
              </w:rPr>
            </w:pPr>
          </w:p>
        </w:tc>
        <w:tc>
          <w:tcPr>
            <w:tcW w:w="1418" w:type="dxa"/>
            <w:vAlign w:val="center"/>
          </w:tcPr>
          <w:p>
            <w:pPr>
              <w:ind w:firstLine="60" w:firstLineChars="25"/>
              <w:jc w:val="center"/>
              <w:rPr>
                <w:rFonts w:ascii="仿宋" w:hAnsi="仿宋" w:eastAsia="仿宋"/>
                <w:b/>
                <w:sz w:val="24"/>
              </w:rPr>
            </w:pPr>
            <w:r>
              <w:rPr>
                <w:rFonts w:hint="eastAsia" w:ascii="仿宋" w:hAnsi="仿宋" w:eastAsia="仿宋"/>
                <w:b/>
                <w:sz w:val="24"/>
              </w:rPr>
              <w:t>双创教学与训练实践</w:t>
            </w:r>
          </w:p>
        </w:tc>
        <w:tc>
          <w:tcPr>
            <w:tcW w:w="6095" w:type="dxa"/>
            <w:vAlign w:val="center"/>
          </w:tcPr>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1 \* GB3 </w:instrText>
            </w:r>
            <w:r>
              <w:rPr>
                <w:rFonts w:hint="eastAsia" w:ascii="仿宋" w:hAnsi="仿宋" w:eastAsia="仿宋"/>
                <w:sz w:val="24"/>
              </w:rPr>
              <w:fldChar w:fldCharType="separate"/>
            </w:r>
            <w:r>
              <w:rPr>
                <w:rFonts w:hint="eastAsia" w:ascii="仿宋" w:hAnsi="仿宋" w:eastAsia="仿宋" w:cs="宋体"/>
                <w:sz w:val="24"/>
              </w:rPr>
              <w:t>①</w:t>
            </w:r>
            <w:r>
              <w:rPr>
                <w:rFonts w:hint="eastAsia" w:ascii="仿宋" w:hAnsi="仿宋" w:eastAsia="仿宋"/>
                <w:sz w:val="24"/>
              </w:rPr>
              <w:fldChar w:fldCharType="end"/>
            </w:r>
            <w:r>
              <w:rPr>
                <w:rFonts w:hint="eastAsia" w:ascii="仿宋" w:hAnsi="仿宋" w:eastAsia="仿宋"/>
                <w:sz w:val="24"/>
              </w:rPr>
              <w:t>参与“互联网</w:t>
            </w:r>
            <w:r>
              <w:rPr>
                <w:rFonts w:ascii="仿宋" w:hAnsi="仿宋" w:eastAsia="仿宋"/>
                <w:sz w:val="24"/>
              </w:rPr>
              <w:t>+”大学生创新创业大赛等创新创业竞赛的组织与管理工作</w:t>
            </w:r>
          </w:p>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2 \* GB3 </w:instrText>
            </w:r>
            <w:r>
              <w:rPr>
                <w:rFonts w:hint="eastAsia" w:ascii="仿宋" w:hAnsi="仿宋" w:eastAsia="仿宋"/>
                <w:sz w:val="24"/>
              </w:rPr>
              <w:fldChar w:fldCharType="separate"/>
            </w:r>
            <w:r>
              <w:rPr>
                <w:rFonts w:hint="eastAsia" w:ascii="仿宋" w:hAnsi="仿宋" w:eastAsia="仿宋" w:cs="宋体"/>
                <w:sz w:val="24"/>
              </w:rPr>
              <w:t>②</w:t>
            </w:r>
            <w:r>
              <w:rPr>
                <w:rFonts w:hint="eastAsia" w:ascii="仿宋" w:hAnsi="仿宋" w:eastAsia="仿宋"/>
                <w:sz w:val="24"/>
              </w:rPr>
              <w:fldChar w:fldCharType="end"/>
            </w:r>
            <w:r>
              <w:rPr>
                <w:rFonts w:hint="eastAsia" w:ascii="仿宋" w:hAnsi="仿宋" w:eastAsia="仿宋"/>
                <w:sz w:val="24"/>
              </w:rPr>
              <w:t>组织实施大学生创新创业训练计划项目、实验室开放项目等，实现创新创业实验室开放运行</w:t>
            </w:r>
          </w:p>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3 \* GB3 </w:instrText>
            </w:r>
            <w:r>
              <w:rPr>
                <w:rFonts w:hint="eastAsia" w:ascii="仿宋" w:hAnsi="仿宋" w:eastAsia="仿宋"/>
                <w:sz w:val="24"/>
              </w:rPr>
              <w:fldChar w:fldCharType="separate"/>
            </w:r>
            <w:r>
              <w:rPr>
                <w:rFonts w:hint="eastAsia" w:ascii="仿宋" w:hAnsi="仿宋" w:eastAsia="仿宋" w:cs="宋体"/>
                <w:sz w:val="24"/>
              </w:rPr>
              <w:t>③</w:t>
            </w:r>
            <w:r>
              <w:rPr>
                <w:rFonts w:hint="eastAsia" w:ascii="仿宋" w:hAnsi="仿宋" w:eastAsia="仿宋"/>
                <w:sz w:val="24"/>
              </w:rPr>
              <w:fldChar w:fldCharType="end"/>
            </w:r>
            <w:r>
              <w:rPr>
                <w:rFonts w:hint="eastAsia" w:ascii="仿宋" w:hAnsi="仿宋" w:eastAsia="仿宋"/>
                <w:sz w:val="24"/>
              </w:rPr>
              <w:t>创新创业实践实训人数不低于在校生</w:t>
            </w:r>
            <w:r>
              <w:rPr>
                <w:rFonts w:ascii="仿宋" w:hAnsi="仿宋" w:eastAsia="仿宋"/>
                <w:sz w:val="24"/>
              </w:rPr>
              <w:t>50%，组织学生创新创业成果展、实践实训成果汇报等专题与特色活动</w:t>
            </w:r>
          </w:p>
          <w:p>
            <w:pPr>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4 \* GB3 </w:instrText>
            </w:r>
            <w:r>
              <w:rPr>
                <w:rFonts w:hint="eastAsia" w:ascii="仿宋" w:hAnsi="仿宋" w:eastAsia="仿宋"/>
                <w:sz w:val="24"/>
              </w:rPr>
              <w:fldChar w:fldCharType="separate"/>
            </w:r>
            <w:r>
              <w:rPr>
                <w:rFonts w:hint="eastAsia" w:ascii="仿宋" w:hAnsi="仿宋" w:eastAsia="仿宋" w:cs="宋体"/>
                <w:sz w:val="24"/>
              </w:rPr>
              <w:t>④</w:t>
            </w:r>
            <w:r>
              <w:rPr>
                <w:rFonts w:hint="eastAsia" w:ascii="仿宋" w:hAnsi="仿宋" w:eastAsia="仿宋"/>
                <w:sz w:val="24"/>
              </w:rPr>
              <w:fldChar w:fldCharType="end"/>
            </w:r>
            <w:r>
              <w:rPr>
                <w:rFonts w:hint="eastAsia" w:ascii="仿宋" w:hAnsi="仿宋" w:eastAsia="仿宋"/>
                <w:sz w:val="24"/>
              </w:rPr>
              <w:t>成立学生创新创业协会、创业俱乐部等，组织实施各类创新创业训练营、创新创业沙龙等，定期开展多维度、多类型的创新创业训练活动、项目路演，注重创新创业文化建设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271" w:type="dxa"/>
            <w:vMerge w:val="restart"/>
            <w:vAlign w:val="center"/>
          </w:tcPr>
          <w:p>
            <w:pPr>
              <w:jc w:val="center"/>
              <w:rPr>
                <w:rFonts w:ascii="仿宋" w:hAnsi="仿宋" w:eastAsia="仿宋"/>
                <w:b/>
                <w:sz w:val="24"/>
              </w:rPr>
            </w:pPr>
            <w:r>
              <w:rPr>
                <w:rFonts w:hint="eastAsia" w:ascii="仿宋" w:hAnsi="仿宋" w:eastAsia="仿宋"/>
                <w:b/>
                <w:sz w:val="24"/>
              </w:rPr>
              <w:t>管理模式</w:t>
            </w:r>
          </w:p>
        </w:tc>
        <w:tc>
          <w:tcPr>
            <w:tcW w:w="1418" w:type="dxa"/>
            <w:vAlign w:val="center"/>
          </w:tcPr>
          <w:p>
            <w:pPr>
              <w:ind w:firstLine="60" w:firstLineChars="25"/>
              <w:jc w:val="center"/>
              <w:rPr>
                <w:rFonts w:ascii="仿宋" w:hAnsi="仿宋" w:eastAsia="仿宋"/>
                <w:b/>
                <w:sz w:val="24"/>
              </w:rPr>
            </w:pPr>
            <w:r>
              <w:rPr>
                <w:rFonts w:hint="eastAsia" w:ascii="仿宋" w:hAnsi="仿宋" w:eastAsia="仿宋"/>
                <w:b/>
                <w:sz w:val="24"/>
              </w:rPr>
              <w:t>管理体制</w:t>
            </w:r>
          </w:p>
        </w:tc>
        <w:tc>
          <w:tcPr>
            <w:tcW w:w="6095" w:type="dxa"/>
            <w:vAlign w:val="center"/>
          </w:tcPr>
          <w:p>
            <w:pPr>
              <w:adjustRightInd w:val="0"/>
              <w:snapToGrid w:val="0"/>
              <w:ind w:left="36"/>
              <w:rPr>
                <w:rFonts w:ascii="仿宋" w:hAnsi="仿宋" w:eastAsia="仿宋"/>
                <w:sz w:val="24"/>
              </w:rPr>
            </w:pPr>
            <w:r>
              <w:rPr>
                <w:rFonts w:hint="eastAsia" w:ascii="仿宋" w:hAnsi="仿宋" w:eastAsia="仿宋" w:cs="宋体"/>
                <w:sz w:val="24"/>
              </w:rPr>
              <w:t>①</w:t>
            </w:r>
            <w:r>
              <w:rPr>
                <w:rFonts w:hint="eastAsia" w:ascii="仿宋" w:hAnsi="仿宋" w:eastAsia="仿宋"/>
                <w:sz w:val="24"/>
              </w:rPr>
              <w:t>整合各类专业创新实验室、主题创新区等校内资源建设“创新创业实践教育中心”，导入地方政府、行业及企事业单位的创新创业基地、创业园、科技园、孵化器等外部资源，建设“创新创业实践教育基地”，确保资源有机集成、统筹协调、开放共享</w:t>
            </w:r>
          </w:p>
          <w:p>
            <w:pPr>
              <w:adjustRightInd w:val="0"/>
              <w:snapToGrid w:val="0"/>
              <w:ind w:left="36"/>
              <w:rPr>
                <w:rFonts w:ascii="仿宋" w:hAnsi="仿宋" w:eastAsia="仿宋"/>
                <w:sz w:val="24"/>
              </w:rPr>
            </w:pPr>
            <w:r>
              <w:rPr>
                <w:rFonts w:hint="eastAsia" w:ascii="仿宋" w:hAnsi="仿宋" w:eastAsia="仿宋" w:cs="宋体"/>
                <w:sz w:val="24"/>
              </w:rPr>
              <w:t>②</w:t>
            </w:r>
            <w:r>
              <w:rPr>
                <w:rFonts w:hint="eastAsia" w:ascii="仿宋" w:hAnsi="仿宋" w:eastAsia="仿宋"/>
                <w:sz w:val="24"/>
              </w:rPr>
              <w:t>有完善的创新创业教育管理制度，设有多方共同参与的共享服务平台，签订合作建设协议并有良好运作基础</w:t>
            </w:r>
            <w:r>
              <w:rPr>
                <w:rFonts w:ascii="仿宋" w:hAnsi="仿宋" w:eastAsia="仿宋"/>
                <w:sz w:val="24"/>
              </w:rPr>
              <w:t>,有互聘、互借、互用相关产学研人员及资源共享等制度</w:t>
            </w:r>
          </w:p>
          <w:p>
            <w:pPr>
              <w:adjustRightInd w:val="0"/>
              <w:snapToGrid w:val="0"/>
              <w:rPr>
                <w:rFonts w:ascii="仿宋" w:hAnsi="仿宋" w:eastAsia="仿宋"/>
                <w:sz w:val="24"/>
              </w:rPr>
            </w:pPr>
            <w:r>
              <w:rPr>
                <w:rFonts w:hint="eastAsia" w:ascii="仿宋" w:hAnsi="仿宋" w:eastAsia="仿宋" w:cs="宋体"/>
                <w:sz w:val="24"/>
              </w:rPr>
              <w:t>③</w:t>
            </w:r>
            <w:r>
              <w:rPr>
                <w:rFonts w:hint="eastAsia" w:ascii="仿宋" w:hAnsi="仿宋" w:eastAsia="仿宋"/>
                <w:sz w:val="24"/>
              </w:rPr>
              <w:t>中心管理由教务部门或独立设置的创新创业教育部门牵头，学工、就业、团委、科技、财务等相关部门协同实施</w:t>
            </w:r>
          </w:p>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4 \* GB3 </w:instrText>
            </w:r>
            <w:r>
              <w:rPr>
                <w:rFonts w:hint="eastAsia" w:ascii="仿宋" w:hAnsi="仿宋" w:eastAsia="仿宋"/>
                <w:sz w:val="24"/>
              </w:rPr>
              <w:fldChar w:fldCharType="separate"/>
            </w:r>
            <w:r>
              <w:rPr>
                <w:rFonts w:hint="eastAsia" w:ascii="仿宋" w:hAnsi="仿宋" w:eastAsia="仿宋" w:cs="宋体"/>
                <w:sz w:val="24"/>
              </w:rPr>
              <w:t>④</w:t>
            </w:r>
            <w:r>
              <w:rPr>
                <w:rFonts w:hint="eastAsia" w:ascii="仿宋" w:hAnsi="仿宋" w:eastAsia="仿宋"/>
                <w:sz w:val="24"/>
              </w:rPr>
              <w:fldChar w:fldCharType="end"/>
            </w:r>
            <w:r>
              <w:rPr>
                <w:rFonts w:hint="eastAsia" w:ascii="仿宋" w:hAnsi="仿宋" w:eastAsia="仿宋"/>
                <w:sz w:val="24"/>
              </w:rPr>
              <w:t>有科学合理的创新创业实践学分认定制度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271" w:type="dxa"/>
            <w:vMerge w:val="continue"/>
            <w:vAlign w:val="center"/>
          </w:tcPr>
          <w:p>
            <w:pPr>
              <w:spacing w:before="217" w:beforeLines="50"/>
              <w:jc w:val="center"/>
              <w:rPr>
                <w:rFonts w:ascii="仿宋" w:hAnsi="仿宋" w:eastAsia="仿宋"/>
                <w:b/>
                <w:sz w:val="24"/>
              </w:rPr>
            </w:pPr>
          </w:p>
        </w:tc>
        <w:tc>
          <w:tcPr>
            <w:tcW w:w="1418" w:type="dxa"/>
            <w:vAlign w:val="center"/>
          </w:tcPr>
          <w:p>
            <w:pPr>
              <w:ind w:firstLine="60" w:firstLineChars="25"/>
              <w:jc w:val="center"/>
              <w:rPr>
                <w:rFonts w:ascii="仿宋" w:hAnsi="仿宋" w:eastAsia="仿宋"/>
                <w:b/>
                <w:sz w:val="24"/>
              </w:rPr>
            </w:pPr>
            <w:r>
              <w:rPr>
                <w:rFonts w:hint="eastAsia" w:ascii="仿宋" w:hAnsi="仿宋" w:eastAsia="仿宋"/>
                <w:b/>
                <w:sz w:val="24"/>
              </w:rPr>
              <w:t>信息平台</w:t>
            </w:r>
          </w:p>
        </w:tc>
        <w:tc>
          <w:tcPr>
            <w:tcW w:w="6095" w:type="dxa"/>
            <w:vAlign w:val="center"/>
          </w:tcPr>
          <w:p>
            <w:pPr>
              <w:adjustRightInd w:val="0"/>
              <w:snapToGrid w:val="0"/>
              <w:ind w:firstLine="36" w:firstLineChars="15"/>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1 \* GB3 </w:instrText>
            </w:r>
            <w:r>
              <w:rPr>
                <w:rFonts w:hint="eastAsia" w:ascii="仿宋" w:hAnsi="仿宋" w:eastAsia="仿宋"/>
                <w:sz w:val="24"/>
              </w:rPr>
              <w:fldChar w:fldCharType="separate"/>
            </w:r>
            <w:r>
              <w:rPr>
                <w:rFonts w:hint="eastAsia" w:ascii="仿宋" w:hAnsi="仿宋" w:eastAsia="仿宋" w:cs="宋体"/>
                <w:sz w:val="24"/>
              </w:rPr>
              <w:t>①</w:t>
            </w:r>
            <w:r>
              <w:rPr>
                <w:rFonts w:hint="eastAsia" w:ascii="仿宋" w:hAnsi="仿宋" w:eastAsia="仿宋"/>
                <w:sz w:val="24"/>
              </w:rPr>
              <w:fldChar w:fldCharType="end"/>
            </w:r>
            <w:r>
              <w:rPr>
                <w:rFonts w:hint="eastAsia" w:ascii="仿宋" w:hAnsi="仿宋" w:eastAsia="仿宋"/>
                <w:sz w:val="24"/>
              </w:rPr>
              <w:t>建有创新创业实践教学管理信息平台，可实现创新创业项目的信息化、智能化管理</w:t>
            </w:r>
          </w:p>
          <w:p>
            <w:pPr>
              <w:adjustRightInd w:val="0"/>
              <w:snapToGrid w:val="0"/>
              <w:ind w:firstLine="36" w:firstLineChars="15"/>
              <w:rPr>
                <w:rFonts w:ascii="仿宋" w:hAnsi="仿宋" w:eastAsia="仿宋"/>
                <w:sz w:val="24"/>
              </w:rPr>
            </w:pPr>
            <w:r>
              <w:rPr>
                <w:rFonts w:hint="eastAsia" w:ascii="仿宋" w:hAnsi="仿宋" w:eastAsia="仿宋" w:cs="宋体"/>
                <w:sz w:val="24"/>
              </w:rPr>
              <w:t>②</w:t>
            </w:r>
            <w:r>
              <w:rPr>
                <w:rFonts w:hint="eastAsia" w:ascii="仿宋" w:hAnsi="仿宋" w:eastAsia="仿宋"/>
                <w:sz w:val="24"/>
              </w:rPr>
              <w:t>建有丰富的创新创业在线教育资源</w:t>
            </w:r>
          </w:p>
          <w:p>
            <w:pPr>
              <w:adjustRightInd w:val="0"/>
              <w:snapToGrid w:val="0"/>
              <w:ind w:firstLine="36" w:firstLineChars="15"/>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3 \* GB3 </w:instrText>
            </w:r>
            <w:r>
              <w:rPr>
                <w:rFonts w:hint="eastAsia" w:ascii="仿宋" w:hAnsi="仿宋" w:eastAsia="仿宋"/>
                <w:sz w:val="24"/>
              </w:rPr>
              <w:fldChar w:fldCharType="separate"/>
            </w:r>
            <w:r>
              <w:rPr>
                <w:rFonts w:hint="eastAsia" w:ascii="仿宋" w:hAnsi="仿宋" w:eastAsia="仿宋" w:cs="宋体"/>
                <w:sz w:val="24"/>
              </w:rPr>
              <w:t>③</w:t>
            </w:r>
            <w:r>
              <w:rPr>
                <w:rFonts w:hint="eastAsia" w:ascii="仿宋" w:hAnsi="仿宋" w:eastAsia="仿宋"/>
                <w:sz w:val="24"/>
              </w:rPr>
              <w:fldChar w:fldCharType="end"/>
            </w:r>
            <w:r>
              <w:rPr>
                <w:rFonts w:hint="eastAsia" w:ascii="仿宋" w:hAnsi="仿宋" w:eastAsia="仿宋"/>
                <w:sz w:val="24"/>
              </w:rPr>
              <w:t>建设创新创业项目展示平台，宣传创新创业成果，促进成果资源对接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271" w:type="dxa"/>
            <w:vMerge w:val="continue"/>
            <w:vAlign w:val="center"/>
          </w:tcPr>
          <w:p>
            <w:pPr>
              <w:spacing w:before="217" w:beforeLines="50"/>
              <w:jc w:val="center"/>
              <w:rPr>
                <w:rFonts w:ascii="仿宋" w:hAnsi="仿宋" w:eastAsia="仿宋"/>
                <w:b/>
                <w:sz w:val="24"/>
              </w:rPr>
            </w:pPr>
          </w:p>
        </w:tc>
        <w:tc>
          <w:tcPr>
            <w:tcW w:w="1418" w:type="dxa"/>
            <w:vAlign w:val="center"/>
          </w:tcPr>
          <w:p>
            <w:pPr>
              <w:ind w:firstLine="60" w:firstLineChars="25"/>
              <w:jc w:val="center"/>
              <w:rPr>
                <w:rFonts w:ascii="仿宋" w:hAnsi="仿宋" w:eastAsia="仿宋"/>
                <w:b/>
                <w:sz w:val="24"/>
              </w:rPr>
            </w:pPr>
            <w:r>
              <w:rPr>
                <w:rFonts w:hint="eastAsia" w:ascii="仿宋" w:hAnsi="仿宋" w:eastAsia="仿宋"/>
                <w:b/>
                <w:sz w:val="24"/>
              </w:rPr>
              <w:t>运行机制</w:t>
            </w:r>
          </w:p>
        </w:tc>
        <w:tc>
          <w:tcPr>
            <w:tcW w:w="6095" w:type="dxa"/>
            <w:vAlign w:val="center"/>
          </w:tcPr>
          <w:p>
            <w:pPr>
              <w:adjustRightInd w:val="0"/>
              <w:snapToGrid w:val="0"/>
              <w:rPr>
                <w:rFonts w:ascii="仿宋" w:hAnsi="仿宋" w:eastAsia="仿宋"/>
                <w:sz w:val="24"/>
              </w:rPr>
            </w:pPr>
            <w:r>
              <w:rPr>
                <w:rFonts w:hint="eastAsia" w:ascii="仿宋" w:hAnsi="仿宋" w:eastAsia="仿宋" w:cs="宋体"/>
                <w:sz w:val="24"/>
              </w:rPr>
              <w:t>①</w:t>
            </w:r>
            <w:r>
              <w:rPr>
                <w:rFonts w:hint="eastAsia" w:ascii="仿宋" w:hAnsi="仿宋" w:eastAsia="仿宋"/>
                <w:sz w:val="24"/>
              </w:rPr>
              <w:t>中心开放运行，管理规范</w:t>
            </w:r>
            <w:r>
              <w:rPr>
                <w:rFonts w:hint="eastAsia" w:ascii="仿宋" w:hAnsi="仿宋" w:eastAsia="仿宋"/>
                <w:b/>
                <w:sz w:val="24"/>
              </w:rPr>
              <w:t>，</w:t>
            </w:r>
            <w:r>
              <w:rPr>
                <w:rFonts w:hint="eastAsia" w:ascii="仿宋" w:hAnsi="仿宋" w:eastAsia="仿宋"/>
                <w:sz w:val="24"/>
              </w:rPr>
              <w:t>以生为本，保障措施落实得力，运行良好</w:t>
            </w:r>
          </w:p>
          <w:p>
            <w:pPr>
              <w:adjustRightInd w:val="0"/>
              <w:snapToGrid w:val="0"/>
              <w:rPr>
                <w:rFonts w:ascii="仿宋" w:hAnsi="仿宋" w:eastAsia="仿宋"/>
                <w:sz w:val="24"/>
              </w:rPr>
            </w:pPr>
            <w:r>
              <w:rPr>
                <w:rFonts w:hint="eastAsia" w:ascii="仿宋" w:hAnsi="仿宋" w:eastAsia="仿宋" w:cs="宋体"/>
                <w:sz w:val="24"/>
              </w:rPr>
              <w:t>②</w:t>
            </w:r>
            <w:r>
              <w:rPr>
                <w:rFonts w:hint="eastAsia" w:ascii="仿宋" w:hAnsi="仿宋" w:eastAsia="仿宋"/>
                <w:sz w:val="24"/>
              </w:rPr>
              <w:t>创新创业教学评价办法科学合理，创新创业教学质量保障体系完善</w:t>
            </w:r>
            <w:r>
              <w:rPr>
                <w:rFonts w:ascii="仿宋" w:hAnsi="仿宋" w:eastAsia="仿宋"/>
                <w:sz w:val="24"/>
              </w:rPr>
              <w:t>,建立定期评估机制</w:t>
            </w:r>
          </w:p>
          <w:p>
            <w:pPr>
              <w:adjustRightInd w:val="0"/>
              <w:snapToGrid w:val="0"/>
              <w:rPr>
                <w:rFonts w:ascii="仿宋" w:hAnsi="仿宋" w:eastAsia="仿宋"/>
                <w:sz w:val="24"/>
              </w:rPr>
            </w:pPr>
            <w:r>
              <w:rPr>
                <w:rFonts w:hint="eastAsia" w:ascii="仿宋" w:hAnsi="仿宋" w:eastAsia="仿宋" w:cs="宋体"/>
                <w:kern w:val="0"/>
                <w:sz w:val="24"/>
              </w:rPr>
              <w:t>③</w:t>
            </w:r>
            <w:r>
              <w:rPr>
                <w:rFonts w:hint="eastAsia" w:ascii="仿宋" w:hAnsi="仿宋" w:eastAsia="仿宋"/>
                <w:kern w:val="0"/>
                <w:sz w:val="24"/>
              </w:rPr>
              <w:t>学校创新创业教学运行规范，基础设施和配套建设经费充足，合作单位有人员、经费投入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71" w:type="dxa"/>
            <w:vMerge w:val="restart"/>
            <w:vAlign w:val="center"/>
          </w:tcPr>
          <w:p>
            <w:pPr>
              <w:jc w:val="center"/>
              <w:rPr>
                <w:rFonts w:ascii="仿宋" w:hAnsi="仿宋" w:eastAsia="仿宋"/>
                <w:b/>
                <w:sz w:val="24"/>
              </w:rPr>
            </w:pPr>
            <w:r>
              <w:rPr>
                <w:rFonts w:hint="eastAsia" w:ascii="仿宋" w:hAnsi="仿宋" w:eastAsia="仿宋"/>
                <w:b/>
                <w:sz w:val="24"/>
              </w:rPr>
              <w:t>条件保障</w:t>
            </w:r>
          </w:p>
        </w:tc>
        <w:tc>
          <w:tcPr>
            <w:tcW w:w="1418" w:type="dxa"/>
            <w:vAlign w:val="center"/>
          </w:tcPr>
          <w:p>
            <w:pPr>
              <w:ind w:firstLine="60" w:firstLineChars="25"/>
              <w:jc w:val="center"/>
              <w:rPr>
                <w:rFonts w:ascii="仿宋" w:hAnsi="仿宋" w:eastAsia="仿宋"/>
                <w:b/>
                <w:sz w:val="24"/>
              </w:rPr>
            </w:pPr>
            <w:r>
              <w:rPr>
                <w:rFonts w:hint="eastAsia" w:ascii="仿宋" w:hAnsi="仿宋" w:eastAsia="仿宋"/>
                <w:b/>
                <w:sz w:val="24"/>
              </w:rPr>
              <w:t>校内中心</w:t>
            </w:r>
          </w:p>
        </w:tc>
        <w:tc>
          <w:tcPr>
            <w:tcW w:w="6095" w:type="dxa"/>
            <w:vAlign w:val="center"/>
          </w:tcPr>
          <w:p>
            <w:pPr>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1 \* GB3 </w:instrText>
            </w:r>
            <w:r>
              <w:rPr>
                <w:rFonts w:hint="eastAsia" w:ascii="仿宋" w:hAnsi="仿宋" w:eastAsia="仿宋"/>
                <w:sz w:val="24"/>
              </w:rPr>
              <w:fldChar w:fldCharType="separate"/>
            </w:r>
            <w:r>
              <w:rPr>
                <w:rFonts w:hint="eastAsia" w:ascii="仿宋" w:hAnsi="仿宋" w:eastAsia="仿宋" w:cs="宋体"/>
                <w:sz w:val="24"/>
              </w:rPr>
              <w:t>①</w:t>
            </w:r>
            <w:r>
              <w:rPr>
                <w:rFonts w:hint="eastAsia" w:ascii="仿宋" w:hAnsi="仿宋" w:eastAsia="仿宋"/>
                <w:sz w:val="24"/>
              </w:rPr>
              <w:fldChar w:fldCharType="end"/>
            </w:r>
            <w:r>
              <w:rPr>
                <w:rFonts w:hint="eastAsia" w:ascii="仿宋" w:hAnsi="仿宋" w:eastAsia="仿宋"/>
                <w:sz w:val="24"/>
              </w:rPr>
              <w:t>具有独立运行的场地，场地主体面积不少于</w:t>
            </w:r>
            <w:r>
              <w:rPr>
                <w:rFonts w:ascii="仿宋" w:hAnsi="仿宋" w:eastAsia="仿宋"/>
                <w:sz w:val="24"/>
              </w:rPr>
              <w:t>1000平方米，校内总面积不少于2000平方米</w:t>
            </w:r>
          </w:p>
          <w:p>
            <w:pPr>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2 \* GB3 </w:instrText>
            </w:r>
            <w:r>
              <w:rPr>
                <w:rFonts w:hint="eastAsia" w:ascii="仿宋" w:hAnsi="仿宋" w:eastAsia="仿宋"/>
                <w:sz w:val="24"/>
              </w:rPr>
              <w:fldChar w:fldCharType="separate"/>
            </w:r>
            <w:r>
              <w:rPr>
                <w:rFonts w:hint="eastAsia" w:ascii="仿宋" w:hAnsi="仿宋" w:eastAsia="仿宋" w:cs="宋体"/>
                <w:sz w:val="24"/>
              </w:rPr>
              <w:t>②</w:t>
            </w:r>
            <w:r>
              <w:rPr>
                <w:rFonts w:hint="eastAsia" w:ascii="仿宋" w:hAnsi="仿宋" w:eastAsia="仿宋"/>
                <w:sz w:val="24"/>
              </w:rPr>
              <w:fldChar w:fldCharType="end"/>
            </w:r>
            <w:r>
              <w:rPr>
                <w:rFonts w:hint="eastAsia" w:ascii="仿宋" w:hAnsi="仿宋" w:eastAsia="仿宋"/>
                <w:sz w:val="24"/>
              </w:rPr>
              <w:t>构建面向全体师生开放的“</w:t>
            </w:r>
            <w:r>
              <w:rPr>
                <w:rFonts w:ascii="仿宋" w:hAnsi="仿宋" w:eastAsia="仿宋"/>
                <w:sz w:val="24"/>
              </w:rPr>
              <w:t>1+X+N”的校内平台（1个创新创业实践教育中心+X个专业创新创业实验室或主题创新创业区+N个其他平台：如成果展示平台</w:t>
            </w:r>
            <w:r>
              <w:rPr>
                <w:rFonts w:hint="eastAsia" w:ascii="仿宋" w:hAnsi="仿宋" w:eastAsia="仿宋"/>
                <w:sz w:val="24"/>
              </w:rPr>
              <w:t>、共享服务平台</w:t>
            </w:r>
            <w:r>
              <w:rPr>
                <w:rFonts w:ascii="仿宋" w:hAnsi="仿宋" w:eastAsia="仿宋"/>
                <w:sz w:val="24"/>
              </w:rPr>
              <w:t>等）</w:t>
            </w:r>
          </w:p>
          <w:p>
            <w:pPr>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3 \* GB3 </w:instrText>
            </w:r>
            <w:r>
              <w:rPr>
                <w:rFonts w:hint="eastAsia" w:ascii="仿宋" w:hAnsi="仿宋" w:eastAsia="仿宋"/>
                <w:sz w:val="24"/>
              </w:rPr>
              <w:fldChar w:fldCharType="separate"/>
            </w:r>
            <w:r>
              <w:rPr>
                <w:rFonts w:hint="eastAsia" w:ascii="仿宋" w:hAnsi="仿宋" w:eastAsia="仿宋" w:cs="宋体"/>
                <w:sz w:val="24"/>
              </w:rPr>
              <w:t>③</w:t>
            </w:r>
            <w:r>
              <w:rPr>
                <w:rFonts w:hint="eastAsia" w:ascii="仿宋" w:hAnsi="仿宋" w:eastAsia="仿宋"/>
                <w:sz w:val="24"/>
              </w:rPr>
              <w:fldChar w:fldCharType="end"/>
            </w:r>
            <w:r>
              <w:rPr>
                <w:rFonts w:hint="eastAsia" w:ascii="仿宋" w:hAnsi="仿宋" w:eastAsia="仿宋"/>
                <w:sz w:val="24"/>
              </w:rPr>
              <w:t>定期开展创新创业教育和创新创业实践实训，全程提供创新创业指导、项目与资源对接等支持与服务，助推学生开展创新创业实践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1" w:type="dxa"/>
            <w:vMerge w:val="continue"/>
            <w:vAlign w:val="center"/>
          </w:tcPr>
          <w:p>
            <w:pPr>
              <w:spacing w:before="217" w:beforeLines="50"/>
              <w:jc w:val="center"/>
              <w:rPr>
                <w:rFonts w:ascii="仿宋" w:hAnsi="仿宋" w:eastAsia="仿宋"/>
                <w:b/>
                <w:sz w:val="24"/>
              </w:rPr>
            </w:pPr>
          </w:p>
        </w:tc>
        <w:tc>
          <w:tcPr>
            <w:tcW w:w="1418" w:type="dxa"/>
            <w:vAlign w:val="center"/>
          </w:tcPr>
          <w:p>
            <w:pPr>
              <w:ind w:firstLine="60" w:firstLineChars="25"/>
              <w:jc w:val="center"/>
              <w:rPr>
                <w:rFonts w:ascii="仿宋" w:hAnsi="仿宋" w:eastAsia="仿宋"/>
                <w:b/>
                <w:sz w:val="24"/>
              </w:rPr>
            </w:pPr>
            <w:r>
              <w:rPr>
                <w:rFonts w:hint="eastAsia" w:ascii="仿宋" w:hAnsi="仿宋" w:eastAsia="仿宋"/>
                <w:b/>
                <w:sz w:val="24"/>
              </w:rPr>
              <w:t>校外基地</w:t>
            </w:r>
          </w:p>
        </w:tc>
        <w:tc>
          <w:tcPr>
            <w:tcW w:w="6095" w:type="dxa"/>
            <w:vAlign w:val="center"/>
          </w:tcPr>
          <w:p>
            <w:pPr>
              <w:adjustRightInd w:val="0"/>
              <w:snapToGrid w:val="0"/>
              <w:ind w:left="36"/>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1 \* GB3 </w:instrText>
            </w:r>
            <w:r>
              <w:rPr>
                <w:rFonts w:hint="eastAsia" w:ascii="仿宋" w:hAnsi="仿宋" w:eastAsia="仿宋"/>
                <w:sz w:val="24"/>
              </w:rPr>
              <w:fldChar w:fldCharType="separate"/>
            </w:r>
            <w:r>
              <w:rPr>
                <w:rFonts w:hint="eastAsia" w:ascii="仿宋" w:hAnsi="仿宋" w:eastAsia="仿宋" w:cs="宋体"/>
                <w:sz w:val="24"/>
              </w:rPr>
              <w:t>①</w:t>
            </w:r>
            <w:r>
              <w:rPr>
                <w:rFonts w:hint="eastAsia" w:ascii="仿宋" w:hAnsi="仿宋" w:eastAsia="仿宋"/>
                <w:sz w:val="24"/>
              </w:rPr>
              <w:fldChar w:fldCharType="end"/>
            </w:r>
            <w:r>
              <w:rPr>
                <w:rFonts w:hint="eastAsia" w:ascii="仿宋" w:hAnsi="仿宋" w:eastAsia="仿宋"/>
                <w:sz w:val="24"/>
              </w:rPr>
              <w:t>发挥学科专业优势，与地方政府、企事业单位共建大学科技园、大学生创业园等校外创新创业实践教育基地（如创新创业基地、孵化器、创业园、科技园、高新技术开发区等）</w:t>
            </w:r>
          </w:p>
          <w:p>
            <w:pPr>
              <w:adjustRightInd w:val="0"/>
              <w:snapToGrid w:val="0"/>
              <w:ind w:left="36"/>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2 \* GB3 </w:instrText>
            </w:r>
            <w:r>
              <w:rPr>
                <w:rFonts w:hint="eastAsia" w:ascii="仿宋" w:hAnsi="仿宋" w:eastAsia="仿宋"/>
                <w:sz w:val="24"/>
              </w:rPr>
              <w:fldChar w:fldCharType="separate"/>
            </w:r>
            <w:r>
              <w:rPr>
                <w:rFonts w:hint="eastAsia" w:ascii="仿宋" w:hAnsi="仿宋" w:eastAsia="仿宋" w:cs="宋体"/>
                <w:sz w:val="24"/>
              </w:rPr>
              <w:t>②</w:t>
            </w:r>
            <w:r>
              <w:rPr>
                <w:rFonts w:hint="eastAsia" w:ascii="仿宋" w:hAnsi="仿宋" w:eastAsia="仿宋"/>
                <w:sz w:val="24"/>
              </w:rPr>
              <w:fldChar w:fldCharType="end"/>
            </w:r>
            <w:r>
              <w:rPr>
                <w:rFonts w:hint="eastAsia" w:ascii="仿宋" w:hAnsi="仿宋" w:eastAsia="仿宋"/>
                <w:sz w:val="24"/>
              </w:rPr>
              <w:t>有组织地接纳学生开展创新创业实践，可提供全要素、开放式的创新创业服务，可为学生提供工位、共享办公场所、孵化服务等</w:t>
            </w:r>
          </w:p>
          <w:p>
            <w:pPr>
              <w:adjustRightInd w:val="0"/>
              <w:snapToGrid w:val="0"/>
              <w:ind w:left="36"/>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3 \* GB3 </w:instrText>
            </w:r>
            <w:r>
              <w:rPr>
                <w:rFonts w:hint="eastAsia" w:ascii="仿宋" w:hAnsi="仿宋" w:eastAsia="仿宋"/>
                <w:sz w:val="24"/>
              </w:rPr>
              <w:fldChar w:fldCharType="separate"/>
            </w:r>
            <w:r>
              <w:rPr>
                <w:rFonts w:hint="eastAsia" w:ascii="仿宋" w:hAnsi="仿宋" w:eastAsia="仿宋" w:cs="宋体"/>
                <w:sz w:val="24"/>
              </w:rPr>
              <w:t>③</w:t>
            </w:r>
            <w:r>
              <w:rPr>
                <w:rFonts w:hint="eastAsia" w:ascii="仿宋" w:hAnsi="仿宋" w:eastAsia="仿宋"/>
                <w:sz w:val="24"/>
              </w:rPr>
              <w:fldChar w:fldCharType="end"/>
            </w:r>
            <w:r>
              <w:rPr>
                <w:rFonts w:hint="eastAsia" w:ascii="仿宋" w:hAnsi="仿宋" w:eastAsia="仿宋"/>
                <w:sz w:val="24"/>
              </w:rPr>
              <w:t>建有不少于</w:t>
            </w:r>
            <w:r>
              <w:rPr>
                <w:rFonts w:ascii="仿宋" w:hAnsi="仿宋" w:eastAsia="仿宋"/>
                <w:sz w:val="24"/>
              </w:rPr>
              <w:t>3个稳定的校外创新创业实践教育基地，教育教学效果好。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1" w:type="dxa"/>
            <w:vMerge w:val="continue"/>
            <w:vAlign w:val="center"/>
          </w:tcPr>
          <w:p>
            <w:pPr>
              <w:spacing w:before="217" w:beforeLines="50"/>
              <w:jc w:val="center"/>
              <w:rPr>
                <w:rFonts w:ascii="仿宋" w:hAnsi="仿宋" w:eastAsia="仿宋"/>
                <w:b/>
                <w:sz w:val="24"/>
              </w:rPr>
            </w:pPr>
          </w:p>
        </w:tc>
        <w:tc>
          <w:tcPr>
            <w:tcW w:w="1418" w:type="dxa"/>
            <w:vAlign w:val="center"/>
          </w:tcPr>
          <w:p>
            <w:pPr>
              <w:spacing w:before="217" w:beforeLines="50"/>
              <w:ind w:firstLine="60" w:firstLineChars="25"/>
              <w:jc w:val="center"/>
              <w:rPr>
                <w:rFonts w:ascii="仿宋" w:hAnsi="仿宋" w:eastAsia="仿宋"/>
                <w:b/>
                <w:sz w:val="24"/>
              </w:rPr>
            </w:pPr>
            <w:r>
              <w:rPr>
                <w:rFonts w:hint="eastAsia" w:ascii="仿宋" w:hAnsi="仿宋" w:eastAsia="仿宋"/>
                <w:b/>
                <w:sz w:val="24"/>
              </w:rPr>
              <w:t>师资保障</w:t>
            </w:r>
          </w:p>
        </w:tc>
        <w:tc>
          <w:tcPr>
            <w:tcW w:w="6095" w:type="dxa"/>
            <w:vAlign w:val="center"/>
          </w:tcPr>
          <w:p>
            <w:pPr>
              <w:adjustRightInd w:val="0"/>
              <w:snapToGrid w:val="0"/>
              <w:rPr>
                <w:rFonts w:ascii="仿宋" w:hAnsi="仿宋" w:eastAsia="仿宋"/>
                <w:sz w:val="24"/>
              </w:rPr>
            </w:pPr>
            <w:r>
              <w:rPr>
                <w:rFonts w:hint="eastAsia" w:ascii="仿宋" w:hAnsi="仿宋" w:eastAsia="仿宋" w:cs="宋体"/>
                <w:sz w:val="24"/>
              </w:rPr>
              <w:t>①</w:t>
            </w:r>
            <w:r>
              <w:rPr>
                <w:rFonts w:hint="eastAsia" w:ascii="仿宋" w:hAnsi="仿宋" w:eastAsia="仿宋"/>
                <w:sz w:val="24"/>
              </w:rPr>
              <w:t>中心负责人原则上由教务部门或独立设置的创新创业教育部门负责人兼任，应具有高级专业技术职务，具备专业领域创新创业实践经历和指导学生创新创业经历，或具有一定年限的企事业单位工作经历</w:t>
            </w:r>
          </w:p>
          <w:p>
            <w:pPr>
              <w:adjustRightInd w:val="0"/>
              <w:snapToGrid w:val="0"/>
              <w:ind w:firstLine="36" w:firstLineChars="15"/>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2 \* GB3 </w:instrText>
            </w:r>
            <w:r>
              <w:rPr>
                <w:rFonts w:hint="eastAsia" w:ascii="仿宋" w:hAnsi="仿宋" w:eastAsia="仿宋"/>
                <w:sz w:val="24"/>
              </w:rPr>
              <w:fldChar w:fldCharType="separate"/>
            </w:r>
            <w:r>
              <w:rPr>
                <w:rFonts w:hint="eastAsia" w:ascii="仿宋" w:hAnsi="仿宋" w:eastAsia="仿宋" w:cs="宋体"/>
                <w:sz w:val="24"/>
              </w:rPr>
              <w:t>②</w:t>
            </w:r>
            <w:r>
              <w:rPr>
                <w:rFonts w:hint="eastAsia" w:ascii="仿宋" w:hAnsi="仿宋" w:eastAsia="仿宋"/>
                <w:sz w:val="24"/>
              </w:rPr>
              <w:fldChar w:fldCharType="end"/>
            </w:r>
            <w:r>
              <w:rPr>
                <w:rFonts w:hint="eastAsia" w:ascii="仿宋" w:hAnsi="仿宋" w:eastAsia="仿宋"/>
                <w:sz w:val="24"/>
              </w:rPr>
              <w:t>师资队伍由高校创新创业专职教师、专业教师和企事业单位的专业技术人员、企业高管、投融资管理人员等校外兼职教师共同组成，年龄、职称、知识、能力结构合理</w:t>
            </w:r>
          </w:p>
          <w:p>
            <w:pPr>
              <w:adjustRightInd w:val="0"/>
              <w:snapToGrid w:val="0"/>
              <w:ind w:firstLine="36" w:firstLineChars="15"/>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3 \* GB3 </w:instrText>
            </w:r>
            <w:r>
              <w:rPr>
                <w:rFonts w:hint="eastAsia" w:ascii="仿宋" w:hAnsi="仿宋" w:eastAsia="仿宋"/>
                <w:sz w:val="24"/>
              </w:rPr>
              <w:fldChar w:fldCharType="separate"/>
            </w:r>
            <w:r>
              <w:rPr>
                <w:rFonts w:hint="eastAsia" w:ascii="仿宋" w:hAnsi="仿宋" w:eastAsia="仿宋" w:cs="宋体"/>
                <w:sz w:val="24"/>
              </w:rPr>
              <w:t>③</w:t>
            </w:r>
            <w:r>
              <w:rPr>
                <w:rFonts w:hint="eastAsia" w:ascii="仿宋" w:hAnsi="仿宋" w:eastAsia="仿宋"/>
                <w:sz w:val="24"/>
              </w:rPr>
              <w:fldChar w:fldCharType="end"/>
            </w:r>
            <w:r>
              <w:rPr>
                <w:rFonts w:hint="eastAsia" w:ascii="仿宋" w:hAnsi="仿宋" w:eastAsia="仿宋"/>
                <w:sz w:val="24"/>
              </w:rPr>
              <w:t>建有创新创业导师库，聘请知名科学家、创业成功者、企业家、风险投资人等各行各业优秀人才担任创新创业兼职教师，承担双创竞赛、大学生创新创业训练计划、创业实践和相关课程教学指导任务</w:t>
            </w:r>
          </w:p>
          <w:p>
            <w:pPr>
              <w:adjustRightInd w:val="0"/>
              <w:snapToGrid w:val="0"/>
              <w:ind w:firstLine="36" w:firstLineChars="15"/>
              <w:rPr>
                <w:rFonts w:ascii="仿宋" w:hAnsi="仿宋" w:eastAsia="仿宋"/>
                <w:sz w:val="24"/>
              </w:rPr>
            </w:pPr>
            <w:r>
              <w:rPr>
                <w:rFonts w:hint="eastAsia" w:ascii="仿宋" w:hAnsi="仿宋" w:eastAsia="仿宋" w:cs="宋体"/>
                <w:sz w:val="24"/>
              </w:rPr>
              <w:t>④</w:t>
            </w:r>
            <w:r>
              <w:rPr>
                <w:rFonts w:hint="eastAsia" w:ascii="仿宋" w:hAnsi="仿宋" w:eastAsia="仿宋"/>
                <w:sz w:val="24"/>
              </w:rPr>
              <w:t>建立相关教师去企业学习和挂职制度，面向教师开展创新创业教育相关培训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71" w:type="dxa"/>
            <w:vMerge w:val="continue"/>
            <w:vAlign w:val="center"/>
          </w:tcPr>
          <w:p>
            <w:pPr>
              <w:spacing w:before="217" w:beforeLines="50"/>
              <w:jc w:val="center"/>
              <w:rPr>
                <w:rFonts w:ascii="仿宋" w:hAnsi="仿宋" w:eastAsia="仿宋"/>
                <w:b/>
                <w:sz w:val="24"/>
              </w:rPr>
            </w:pPr>
          </w:p>
        </w:tc>
        <w:tc>
          <w:tcPr>
            <w:tcW w:w="1418" w:type="dxa"/>
            <w:vAlign w:val="center"/>
          </w:tcPr>
          <w:p>
            <w:pPr>
              <w:spacing w:before="217" w:beforeLines="50"/>
              <w:ind w:firstLine="60" w:firstLineChars="25"/>
              <w:jc w:val="center"/>
              <w:rPr>
                <w:rFonts w:ascii="仿宋" w:hAnsi="仿宋" w:eastAsia="仿宋"/>
                <w:b/>
                <w:color w:val="FF0000"/>
                <w:sz w:val="24"/>
              </w:rPr>
            </w:pPr>
            <w:r>
              <w:rPr>
                <w:rFonts w:hint="eastAsia" w:ascii="仿宋" w:hAnsi="仿宋" w:eastAsia="仿宋"/>
                <w:b/>
                <w:sz w:val="24"/>
              </w:rPr>
              <w:t>安全保障</w:t>
            </w:r>
          </w:p>
        </w:tc>
        <w:tc>
          <w:tcPr>
            <w:tcW w:w="6095" w:type="dxa"/>
            <w:vAlign w:val="center"/>
          </w:tcPr>
          <w:p>
            <w:pPr>
              <w:adjustRightInd w:val="0"/>
              <w:snapToGrid w:val="0"/>
              <w:rPr>
                <w:rFonts w:ascii="仿宋" w:hAnsi="仿宋" w:eastAsia="仿宋"/>
                <w:sz w:val="24"/>
              </w:rPr>
            </w:pPr>
            <w:r>
              <w:rPr>
                <w:rFonts w:hint="eastAsia" w:ascii="仿宋" w:hAnsi="仿宋" w:eastAsia="仿宋" w:cs="宋体"/>
                <w:sz w:val="24"/>
              </w:rPr>
              <w:t>①</w:t>
            </w:r>
            <w:r>
              <w:rPr>
                <w:rFonts w:hint="eastAsia" w:ascii="仿宋" w:hAnsi="仿宋" w:eastAsia="仿宋"/>
                <w:sz w:val="24"/>
              </w:rPr>
              <w:t>中心设计以人为本，安全、环保，符合国家标准，应急设施和措施完备</w:t>
            </w:r>
          </w:p>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2 \* GB3 </w:instrText>
            </w:r>
            <w:r>
              <w:rPr>
                <w:rFonts w:hint="eastAsia" w:ascii="仿宋" w:hAnsi="仿宋" w:eastAsia="仿宋"/>
                <w:sz w:val="24"/>
              </w:rPr>
              <w:fldChar w:fldCharType="separate"/>
            </w:r>
            <w:r>
              <w:rPr>
                <w:rFonts w:hint="eastAsia" w:ascii="仿宋" w:hAnsi="仿宋" w:eastAsia="仿宋" w:cs="宋体"/>
                <w:sz w:val="24"/>
              </w:rPr>
              <w:t>②</w:t>
            </w:r>
            <w:r>
              <w:rPr>
                <w:rFonts w:hint="eastAsia" w:ascii="仿宋" w:hAnsi="仿宋" w:eastAsia="仿宋"/>
                <w:sz w:val="24"/>
              </w:rPr>
              <w:fldChar w:fldCharType="end"/>
            </w:r>
            <w:r>
              <w:rPr>
                <w:rFonts w:hint="eastAsia" w:ascii="仿宋" w:hAnsi="仿宋" w:eastAsia="仿宋"/>
                <w:sz w:val="24"/>
              </w:rPr>
              <w:t>建设完备的校内中心与校外基地安全工作制度</w:t>
            </w:r>
          </w:p>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3 \* GB3 </w:instrText>
            </w:r>
            <w:r>
              <w:rPr>
                <w:rFonts w:hint="eastAsia" w:ascii="仿宋" w:hAnsi="仿宋" w:eastAsia="仿宋"/>
                <w:sz w:val="24"/>
              </w:rPr>
              <w:fldChar w:fldCharType="separate"/>
            </w:r>
            <w:r>
              <w:rPr>
                <w:rFonts w:hint="eastAsia" w:ascii="仿宋" w:hAnsi="仿宋" w:eastAsia="仿宋" w:cs="宋体"/>
                <w:sz w:val="24"/>
              </w:rPr>
              <w:t>③</w:t>
            </w:r>
            <w:r>
              <w:rPr>
                <w:rFonts w:hint="eastAsia" w:ascii="仿宋" w:hAnsi="仿宋" w:eastAsia="仿宋"/>
                <w:sz w:val="24"/>
              </w:rPr>
              <w:fldChar w:fldCharType="end"/>
            </w:r>
            <w:r>
              <w:rPr>
                <w:rFonts w:hint="eastAsia" w:ascii="仿宋" w:hAnsi="仿宋" w:eastAsia="仿宋"/>
                <w:sz w:val="24"/>
              </w:rPr>
              <w:t>经常开展师生安全、保密和知识产权保护等教育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71" w:type="dxa"/>
            <w:vMerge w:val="continue"/>
            <w:vAlign w:val="center"/>
          </w:tcPr>
          <w:p>
            <w:pPr>
              <w:spacing w:before="217" w:beforeLines="50"/>
              <w:jc w:val="center"/>
              <w:rPr>
                <w:rFonts w:ascii="仿宋" w:hAnsi="仿宋" w:eastAsia="仿宋"/>
                <w:b/>
                <w:sz w:val="24"/>
              </w:rPr>
            </w:pPr>
          </w:p>
        </w:tc>
        <w:tc>
          <w:tcPr>
            <w:tcW w:w="1418" w:type="dxa"/>
            <w:vAlign w:val="center"/>
          </w:tcPr>
          <w:p>
            <w:pPr>
              <w:ind w:firstLine="60" w:firstLineChars="25"/>
              <w:jc w:val="center"/>
              <w:rPr>
                <w:rFonts w:ascii="仿宋" w:hAnsi="仿宋" w:eastAsia="仿宋"/>
                <w:b/>
                <w:sz w:val="24"/>
              </w:rPr>
            </w:pPr>
            <w:r>
              <w:rPr>
                <w:rFonts w:hint="eastAsia" w:ascii="仿宋" w:hAnsi="仿宋" w:eastAsia="仿宋"/>
                <w:b/>
                <w:sz w:val="24"/>
              </w:rPr>
              <w:t>经费保障</w:t>
            </w:r>
          </w:p>
        </w:tc>
        <w:tc>
          <w:tcPr>
            <w:tcW w:w="6095" w:type="dxa"/>
            <w:vAlign w:val="center"/>
          </w:tcPr>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1 \* GB3 </w:instrText>
            </w:r>
            <w:r>
              <w:rPr>
                <w:rFonts w:hint="eastAsia" w:ascii="仿宋" w:hAnsi="仿宋" w:eastAsia="仿宋"/>
                <w:sz w:val="24"/>
              </w:rPr>
              <w:fldChar w:fldCharType="separate"/>
            </w:r>
            <w:r>
              <w:rPr>
                <w:rFonts w:hint="eastAsia" w:ascii="仿宋" w:hAnsi="仿宋" w:eastAsia="仿宋" w:cs="宋体"/>
                <w:sz w:val="24"/>
              </w:rPr>
              <w:t>①</w:t>
            </w:r>
            <w:r>
              <w:rPr>
                <w:rFonts w:hint="eastAsia" w:ascii="仿宋" w:hAnsi="仿宋" w:eastAsia="仿宋"/>
                <w:sz w:val="24"/>
              </w:rPr>
              <w:fldChar w:fldCharType="end"/>
            </w:r>
            <w:r>
              <w:rPr>
                <w:rFonts w:hint="eastAsia" w:ascii="仿宋" w:hAnsi="仿宋" w:eastAsia="仿宋"/>
                <w:sz w:val="24"/>
              </w:rPr>
              <w:t>学校安排创新创业教育专项资金，用于扶持学生创新创业</w:t>
            </w:r>
          </w:p>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2 \* GB3 </w:instrText>
            </w:r>
            <w:r>
              <w:rPr>
                <w:rFonts w:hint="eastAsia" w:ascii="仿宋" w:hAnsi="仿宋" w:eastAsia="仿宋"/>
                <w:sz w:val="24"/>
              </w:rPr>
              <w:fldChar w:fldCharType="separate"/>
            </w:r>
            <w:r>
              <w:rPr>
                <w:rFonts w:hint="eastAsia" w:ascii="仿宋" w:hAnsi="仿宋" w:eastAsia="仿宋" w:cs="宋体"/>
                <w:sz w:val="24"/>
              </w:rPr>
              <w:t>②</w:t>
            </w:r>
            <w:r>
              <w:rPr>
                <w:rFonts w:hint="eastAsia" w:ascii="仿宋" w:hAnsi="仿宋" w:eastAsia="仿宋"/>
                <w:sz w:val="24"/>
              </w:rPr>
              <w:fldChar w:fldCharType="end"/>
            </w:r>
            <w:r>
              <w:rPr>
                <w:rFonts w:hint="eastAsia" w:ascii="仿宋" w:hAnsi="仿宋" w:eastAsia="仿宋"/>
                <w:sz w:val="24"/>
              </w:rPr>
              <w:t>中心建设和运行经费投入不少于</w:t>
            </w:r>
            <w:r>
              <w:rPr>
                <w:rFonts w:ascii="仿宋" w:hAnsi="仿宋" w:eastAsia="仿宋"/>
                <w:sz w:val="24"/>
              </w:rPr>
              <w:t>100万元/年</w:t>
            </w:r>
          </w:p>
          <w:p>
            <w:pPr>
              <w:adjustRightInd w:val="0"/>
              <w:snapToGrid w:val="0"/>
              <w:rPr>
                <w:rFonts w:ascii="仿宋" w:hAnsi="仿宋" w:eastAsia="仿宋"/>
                <w:sz w:val="24"/>
              </w:rPr>
            </w:pPr>
            <w:r>
              <w:rPr>
                <w:rFonts w:hint="eastAsia" w:ascii="仿宋" w:hAnsi="仿宋" w:eastAsia="仿宋" w:cs="宋体"/>
                <w:sz w:val="24"/>
              </w:rPr>
              <w:t>③</w:t>
            </w:r>
            <w:r>
              <w:rPr>
                <w:rFonts w:hint="eastAsia" w:ascii="仿宋" w:hAnsi="仿宋" w:eastAsia="仿宋"/>
                <w:sz w:val="24"/>
              </w:rPr>
              <w:t>有多元的社会资金来源用于创新创业教育活动开展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271" w:type="dxa"/>
            <w:vMerge w:val="restart"/>
            <w:vAlign w:val="center"/>
          </w:tcPr>
          <w:p>
            <w:pPr>
              <w:jc w:val="center"/>
              <w:rPr>
                <w:rFonts w:ascii="仿宋" w:hAnsi="仿宋" w:eastAsia="仿宋"/>
                <w:b/>
                <w:sz w:val="24"/>
              </w:rPr>
            </w:pPr>
            <w:r>
              <w:rPr>
                <w:rFonts w:hint="eastAsia" w:ascii="仿宋" w:hAnsi="仿宋" w:eastAsia="仿宋"/>
                <w:b/>
                <w:sz w:val="24"/>
              </w:rPr>
              <w:t>双创成效</w:t>
            </w:r>
          </w:p>
        </w:tc>
        <w:tc>
          <w:tcPr>
            <w:tcW w:w="1418" w:type="dxa"/>
            <w:vAlign w:val="center"/>
          </w:tcPr>
          <w:p>
            <w:pPr>
              <w:ind w:firstLine="60" w:firstLineChars="25"/>
              <w:jc w:val="center"/>
              <w:rPr>
                <w:rFonts w:ascii="仿宋" w:hAnsi="仿宋" w:eastAsia="仿宋"/>
                <w:b/>
                <w:bCs/>
                <w:sz w:val="24"/>
              </w:rPr>
            </w:pPr>
            <w:r>
              <w:rPr>
                <w:rFonts w:hint="eastAsia" w:ascii="仿宋" w:hAnsi="仿宋" w:eastAsia="仿宋"/>
                <w:b/>
                <w:bCs/>
                <w:sz w:val="24"/>
              </w:rPr>
              <w:t>教学成效</w:t>
            </w:r>
          </w:p>
        </w:tc>
        <w:tc>
          <w:tcPr>
            <w:tcW w:w="6095" w:type="dxa"/>
            <w:vAlign w:val="center"/>
          </w:tcPr>
          <w:p>
            <w:pPr>
              <w:pStyle w:val="54"/>
              <w:numPr>
                <w:ilvl w:val="0"/>
                <w:numId w:val="1"/>
              </w:numPr>
              <w:adjustRightInd w:val="0"/>
              <w:snapToGrid w:val="0"/>
              <w:ind w:firstLineChars="0"/>
              <w:rPr>
                <w:rFonts w:ascii="仿宋" w:hAnsi="仿宋" w:eastAsia="仿宋"/>
                <w:sz w:val="24"/>
              </w:rPr>
            </w:pPr>
            <w:r>
              <w:rPr>
                <w:rFonts w:hint="eastAsia" w:ascii="仿宋" w:hAnsi="仿宋" w:eastAsia="仿宋"/>
                <w:sz w:val="24"/>
              </w:rPr>
              <w:t>学生创新创业兴趣浓厚，总体评价优良</w:t>
            </w:r>
          </w:p>
          <w:p>
            <w:pPr>
              <w:adjustRightInd w:val="0"/>
              <w:snapToGrid w:val="0"/>
              <w:rPr>
                <w:rFonts w:ascii="仿宋" w:hAnsi="仿宋" w:eastAsia="仿宋"/>
                <w:sz w:val="24"/>
              </w:rPr>
            </w:pPr>
            <w:r>
              <w:rPr>
                <w:rFonts w:hint="eastAsia" w:ascii="仿宋" w:hAnsi="仿宋" w:eastAsia="仿宋" w:cs="宋体"/>
                <w:sz w:val="24"/>
              </w:rPr>
              <w:t>②</w:t>
            </w:r>
            <w:r>
              <w:rPr>
                <w:rFonts w:hint="eastAsia" w:ascii="仿宋" w:hAnsi="仿宋" w:eastAsia="仿宋"/>
                <w:sz w:val="24"/>
              </w:rPr>
              <w:t>学生参加创新创业活动踊跃，获得的创新创业成果较多，如正式发表论文、取得专利、获得省部级及以上创新创业竞赛奖励、注册公司等</w:t>
            </w:r>
          </w:p>
          <w:p>
            <w:pPr>
              <w:pStyle w:val="54"/>
              <w:numPr>
                <w:ilvl w:val="0"/>
                <w:numId w:val="1"/>
              </w:numPr>
              <w:adjustRightInd w:val="0"/>
              <w:snapToGrid w:val="0"/>
              <w:ind w:firstLineChars="0"/>
              <w:rPr>
                <w:rFonts w:ascii="仿宋" w:hAnsi="仿宋" w:eastAsia="仿宋"/>
                <w:sz w:val="24"/>
              </w:rPr>
            </w:pPr>
            <w:r>
              <w:rPr>
                <w:rFonts w:hint="eastAsia" w:ascii="仿宋" w:hAnsi="仿宋" w:eastAsia="仿宋"/>
                <w:sz w:val="24"/>
              </w:rPr>
              <w:t>创新创业实践教学成果丰富，有省部级以上教学成果奖、优秀教材奖、优秀课程奖（一流课程）、优秀指导教师等</w:t>
            </w:r>
          </w:p>
          <w:p>
            <w:pPr>
              <w:adjustRightInd w:val="0"/>
              <w:snapToGrid w:val="0"/>
              <w:rPr>
                <w:rFonts w:ascii="仿宋" w:hAnsi="仿宋" w:eastAsia="仿宋"/>
                <w:sz w:val="24"/>
              </w:rPr>
            </w:pPr>
            <w:r>
              <w:rPr>
                <w:rFonts w:hint="eastAsia" w:ascii="仿宋" w:hAnsi="仿宋" w:eastAsia="仿宋" w:cs="宋体"/>
                <w:sz w:val="24"/>
              </w:rPr>
              <w:t>④</w:t>
            </w:r>
            <w:r>
              <w:rPr>
                <w:rFonts w:hint="eastAsia" w:ascii="仿宋" w:hAnsi="仿宋" w:eastAsia="仿宋"/>
                <w:sz w:val="24"/>
              </w:rPr>
              <w:t>注重共享共建，有比较广泛的辐射和示范作用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71" w:type="dxa"/>
            <w:vMerge w:val="continue"/>
            <w:vAlign w:val="center"/>
          </w:tcPr>
          <w:p>
            <w:pPr>
              <w:jc w:val="center"/>
              <w:rPr>
                <w:rFonts w:ascii="仿宋" w:hAnsi="仿宋" w:eastAsia="仿宋"/>
                <w:b/>
                <w:sz w:val="24"/>
              </w:rPr>
            </w:pPr>
          </w:p>
        </w:tc>
        <w:tc>
          <w:tcPr>
            <w:tcW w:w="1418" w:type="dxa"/>
            <w:vAlign w:val="center"/>
          </w:tcPr>
          <w:p>
            <w:pPr>
              <w:spacing w:before="217" w:beforeLines="50"/>
              <w:ind w:firstLine="60" w:firstLineChars="25"/>
              <w:jc w:val="center"/>
              <w:rPr>
                <w:rFonts w:ascii="仿宋" w:hAnsi="仿宋" w:eastAsia="仿宋"/>
                <w:b/>
                <w:sz w:val="24"/>
              </w:rPr>
            </w:pPr>
            <w:r>
              <w:rPr>
                <w:rFonts w:hint="eastAsia" w:ascii="仿宋" w:hAnsi="仿宋" w:eastAsia="仿宋"/>
                <w:b/>
                <w:sz w:val="24"/>
              </w:rPr>
              <w:t>荣誉资质</w:t>
            </w:r>
          </w:p>
        </w:tc>
        <w:tc>
          <w:tcPr>
            <w:tcW w:w="6095" w:type="dxa"/>
            <w:vAlign w:val="center"/>
          </w:tcPr>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1 \* GB3 </w:instrText>
            </w:r>
            <w:r>
              <w:rPr>
                <w:rFonts w:hint="eastAsia" w:ascii="仿宋" w:hAnsi="仿宋" w:eastAsia="仿宋"/>
                <w:sz w:val="24"/>
              </w:rPr>
              <w:fldChar w:fldCharType="separate"/>
            </w:r>
            <w:r>
              <w:rPr>
                <w:rFonts w:hint="eastAsia" w:ascii="仿宋" w:hAnsi="仿宋" w:eastAsia="仿宋" w:cs="宋体"/>
                <w:sz w:val="24"/>
              </w:rPr>
              <w:t>①</w:t>
            </w:r>
            <w:r>
              <w:rPr>
                <w:rFonts w:hint="eastAsia" w:ascii="仿宋" w:hAnsi="仿宋" w:eastAsia="仿宋"/>
                <w:sz w:val="24"/>
              </w:rPr>
              <w:fldChar w:fldCharType="end"/>
            </w:r>
            <w:r>
              <w:rPr>
                <w:rFonts w:hint="eastAsia" w:ascii="仿宋" w:hAnsi="仿宋" w:eastAsia="仿宋"/>
                <w:sz w:val="24"/>
              </w:rPr>
              <w:t>在“互联网</w:t>
            </w:r>
            <w:r>
              <w:rPr>
                <w:rFonts w:ascii="仿宋" w:hAnsi="仿宋" w:eastAsia="仿宋"/>
                <w:sz w:val="24"/>
              </w:rPr>
              <w:t>+”</w:t>
            </w:r>
            <w:r>
              <w:rPr>
                <w:rFonts w:hint="eastAsia" w:ascii="仿宋" w:hAnsi="仿宋" w:eastAsia="仿宋"/>
                <w:sz w:val="24"/>
              </w:rPr>
              <w:t>、大学生创新创业大赛</w:t>
            </w:r>
            <w:r>
              <w:rPr>
                <w:rFonts w:ascii="仿宋" w:hAnsi="仿宋" w:eastAsia="仿宋"/>
                <w:sz w:val="24"/>
              </w:rPr>
              <w:t>等创新创业竞赛中取得较为显著成绩</w:t>
            </w:r>
          </w:p>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2 \* GB3 </w:instrText>
            </w:r>
            <w:r>
              <w:rPr>
                <w:rFonts w:hint="eastAsia" w:ascii="仿宋" w:hAnsi="仿宋" w:eastAsia="仿宋"/>
                <w:sz w:val="24"/>
              </w:rPr>
              <w:fldChar w:fldCharType="separate"/>
            </w:r>
            <w:r>
              <w:rPr>
                <w:rFonts w:hint="eastAsia" w:ascii="仿宋" w:hAnsi="仿宋" w:eastAsia="仿宋" w:cs="宋体"/>
                <w:sz w:val="24"/>
              </w:rPr>
              <w:t>②</w:t>
            </w:r>
            <w:r>
              <w:rPr>
                <w:rFonts w:hint="eastAsia" w:ascii="仿宋" w:hAnsi="仿宋" w:eastAsia="仿宋"/>
                <w:sz w:val="24"/>
              </w:rPr>
              <w:fldChar w:fldCharType="end"/>
            </w:r>
            <w:r>
              <w:rPr>
                <w:rFonts w:hint="eastAsia" w:ascii="仿宋" w:hAnsi="仿宋" w:eastAsia="仿宋"/>
                <w:sz w:val="24"/>
              </w:rPr>
              <w:t>获得有关创新创业的国家级、省级荣誉或资质等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271" w:type="dxa"/>
            <w:vMerge w:val="continue"/>
            <w:vAlign w:val="center"/>
          </w:tcPr>
          <w:p>
            <w:pPr>
              <w:jc w:val="center"/>
              <w:rPr>
                <w:rFonts w:ascii="仿宋" w:hAnsi="仿宋" w:eastAsia="仿宋"/>
                <w:b/>
                <w:sz w:val="24"/>
              </w:rPr>
            </w:pPr>
          </w:p>
        </w:tc>
        <w:tc>
          <w:tcPr>
            <w:tcW w:w="1418" w:type="dxa"/>
            <w:vAlign w:val="center"/>
          </w:tcPr>
          <w:p>
            <w:pPr>
              <w:spacing w:before="217" w:beforeLines="50"/>
              <w:ind w:left="241" w:hanging="241" w:hangingChars="100"/>
              <w:jc w:val="center"/>
              <w:rPr>
                <w:rFonts w:ascii="仿宋" w:hAnsi="仿宋" w:eastAsia="仿宋"/>
                <w:b/>
                <w:sz w:val="24"/>
              </w:rPr>
            </w:pPr>
            <w:r>
              <w:rPr>
                <w:rFonts w:hint="eastAsia" w:ascii="仿宋" w:hAnsi="仿宋" w:eastAsia="仿宋"/>
                <w:b/>
                <w:sz w:val="24"/>
              </w:rPr>
              <w:t>孵化成果</w:t>
            </w:r>
          </w:p>
        </w:tc>
        <w:tc>
          <w:tcPr>
            <w:tcW w:w="6095" w:type="dxa"/>
            <w:vAlign w:val="center"/>
          </w:tcPr>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1 \* GB3 </w:instrText>
            </w:r>
            <w:r>
              <w:rPr>
                <w:rFonts w:hint="eastAsia" w:ascii="仿宋" w:hAnsi="仿宋" w:eastAsia="仿宋"/>
                <w:sz w:val="24"/>
              </w:rPr>
              <w:fldChar w:fldCharType="separate"/>
            </w:r>
            <w:r>
              <w:rPr>
                <w:rFonts w:hint="eastAsia" w:ascii="仿宋" w:hAnsi="仿宋" w:eastAsia="仿宋" w:cs="宋体"/>
                <w:sz w:val="24"/>
              </w:rPr>
              <w:t>①</w:t>
            </w:r>
            <w:r>
              <w:rPr>
                <w:rFonts w:hint="eastAsia" w:ascii="仿宋" w:hAnsi="仿宋" w:eastAsia="仿宋"/>
                <w:sz w:val="24"/>
              </w:rPr>
              <w:fldChar w:fldCharType="end"/>
            </w:r>
            <w:r>
              <w:rPr>
                <w:rFonts w:hint="eastAsia" w:ascii="仿宋" w:hAnsi="仿宋" w:eastAsia="仿宋"/>
                <w:sz w:val="24"/>
              </w:rPr>
              <w:t>与专业投资机构、孵化机构、知识产权代理机构等无缝对接，共同助力创新创业项目孵化转化</w:t>
            </w:r>
          </w:p>
          <w:p>
            <w:pPr>
              <w:adjustRightInd w:val="0"/>
              <w:snapToGrid w:val="0"/>
              <w:rPr>
                <w:rFonts w:ascii="仿宋" w:hAnsi="仿宋" w:eastAsia="仿宋"/>
                <w:sz w:val="24"/>
              </w:rPr>
            </w:pPr>
            <w:r>
              <w:rPr>
                <w:rFonts w:hint="eastAsia" w:ascii="仿宋" w:hAnsi="仿宋" w:eastAsia="仿宋"/>
                <w:sz w:val="24"/>
              </w:rPr>
              <w:fldChar w:fldCharType="begin"/>
            </w:r>
            <w:r>
              <w:rPr>
                <w:rFonts w:ascii="仿宋" w:hAnsi="仿宋" w:eastAsia="仿宋"/>
                <w:sz w:val="24"/>
              </w:rPr>
              <w:instrText xml:space="preserve"> = 2 \* GB3 </w:instrText>
            </w:r>
            <w:r>
              <w:rPr>
                <w:rFonts w:hint="eastAsia" w:ascii="仿宋" w:hAnsi="仿宋" w:eastAsia="仿宋"/>
                <w:sz w:val="24"/>
              </w:rPr>
              <w:fldChar w:fldCharType="separate"/>
            </w:r>
            <w:r>
              <w:rPr>
                <w:rFonts w:hint="eastAsia" w:ascii="仿宋" w:hAnsi="仿宋" w:eastAsia="仿宋" w:cs="宋体"/>
                <w:sz w:val="24"/>
              </w:rPr>
              <w:t>②</w:t>
            </w:r>
            <w:r>
              <w:rPr>
                <w:rFonts w:hint="eastAsia" w:ascii="仿宋" w:hAnsi="仿宋" w:eastAsia="仿宋"/>
                <w:sz w:val="24"/>
              </w:rPr>
              <w:fldChar w:fldCharType="end"/>
            </w:r>
            <w:r>
              <w:rPr>
                <w:rFonts w:hint="eastAsia" w:ascii="仿宋" w:hAnsi="仿宋" w:eastAsia="仿宋"/>
                <w:sz w:val="24"/>
              </w:rPr>
              <w:t>成功孵化创新创业项目，成果转化效果显著</w:t>
            </w:r>
          </w:p>
          <w:p>
            <w:pPr>
              <w:rPr>
                <w:rFonts w:ascii="仿宋" w:hAnsi="仿宋" w:eastAsia="仿宋"/>
                <w:sz w:val="24"/>
              </w:rPr>
            </w:pPr>
            <w:r>
              <w:rPr>
                <w:rFonts w:hint="eastAsia" w:ascii="仿宋" w:hAnsi="仿宋" w:eastAsia="仿宋" w:cs="宋体"/>
                <w:sz w:val="24"/>
              </w:rPr>
              <w:t>③</w:t>
            </w:r>
            <w:r>
              <w:rPr>
                <w:rFonts w:hint="eastAsia" w:ascii="仿宋" w:hAnsi="仿宋" w:eastAsia="仿宋"/>
                <w:sz w:val="24"/>
              </w:rPr>
              <w:t>树立双创标兵人物、典型案例等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71" w:type="dxa"/>
            <w:vAlign w:val="center"/>
          </w:tcPr>
          <w:p>
            <w:pPr>
              <w:jc w:val="center"/>
              <w:rPr>
                <w:rFonts w:ascii="仿宋" w:hAnsi="仿宋" w:eastAsia="仿宋"/>
                <w:b/>
                <w:bCs/>
                <w:sz w:val="24"/>
              </w:rPr>
            </w:pPr>
            <w:r>
              <w:rPr>
                <w:rFonts w:hint="eastAsia" w:ascii="仿宋" w:hAnsi="仿宋" w:eastAsia="仿宋"/>
                <w:b/>
                <w:sz w:val="24"/>
              </w:rPr>
              <w:t>特色项目</w:t>
            </w:r>
          </w:p>
        </w:tc>
        <w:tc>
          <w:tcPr>
            <w:tcW w:w="7513" w:type="dxa"/>
            <w:gridSpan w:val="2"/>
            <w:vAlign w:val="center"/>
          </w:tcPr>
          <w:p>
            <w:pPr>
              <w:adjustRightInd w:val="0"/>
              <w:snapToGrid w:val="0"/>
              <w:rPr>
                <w:rFonts w:ascii="仿宋" w:hAnsi="仿宋" w:eastAsia="仿宋"/>
                <w:sz w:val="24"/>
              </w:rPr>
            </w:pPr>
            <w:r>
              <w:rPr>
                <w:rFonts w:hint="eastAsia" w:ascii="仿宋" w:hAnsi="仿宋" w:eastAsia="仿宋"/>
                <w:sz w:val="24"/>
              </w:rPr>
              <w:t>在创新创业教育、项目孵化、管理模式、设备与环境等方面特色鲜明、富有成效，相关工作在国内或省内示范引领作用明显、影响力较强</w:t>
            </w:r>
          </w:p>
        </w:tc>
      </w:tr>
    </w:tbl>
    <w:p>
      <w:pPr>
        <w:widowControl/>
        <w:adjustRightInd w:val="0"/>
        <w:spacing w:line="560" w:lineRule="exact"/>
        <w:rPr>
          <w:rFonts w:ascii="仿宋" w:hAnsi="仿宋" w:eastAsia="仿宋"/>
          <w:color w:val="000000" w:themeColor="text1"/>
          <w:kern w:val="0"/>
          <w:szCs w:val="36"/>
          <w14:textFill>
            <w14:solidFill>
              <w14:schemeClr w14:val="tx1"/>
            </w14:solidFill>
          </w14:textFill>
        </w:rPr>
      </w:pPr>
    </w:p>
    <w:p>
      <w:pPr>
        <w:pStyle w:val="4"/>
        <w:spacing w:before="435" w:beforeLines="100" w:after="0" w:line="560" w:lineRule="exact"/>
        <w:ind w:firstLine="723" w:firstLineChars="200"/>
        <w:rPr>
          <w:rFonts w:ascii="仿宋" w:hAnsi="仿宋" w:eastAsia="仿宋"/>
          <w:sz w:val="36"/>
          <w:szCs w:val="36"/>
        </w:rPr>
      </w:pPr>
      <w:bookmarkStart w:id="266" w:name="_Toc84708560"/>
      <w:bookmarkStart w:id="267" w:name="_Toc86068901"/>
      <w:r>
        <w:rPr>
          <w:rFonts w:ascii="仿宋" w:hAnsi="仿宋" w:eastAsia="仿宋"/>
          <w:sz w:val="36"/>
          <w:szCs w:val="36"/>
        </w:rPr>
        <w:t>4-3</w:t>
      </w:r>
      <w:r>
        <w:rPr>
          <w:rFonts w:hint="eastAsia" w:ascii="仿宋" w:hAnsi="仿宋" w:eastAsia="仿宋"/>
          <w:sz w:val="36"/>
          <w:szCs w:val="36"/>
        </w:rPr>
        <w:t>校企合作实践教育基地</w:t>
      </w:r>
      <w:bookmarkEnd w:id="266"/>
      <w:bookmarkEnd w:id="267"/>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校企合作实践教育基地是开展实践育人工作的重要载体。通过建设实践育人基地，建立协调育人机制，深化教育教学改革，推动教学与科研紧密结合、学校与社会密切合作，促进大学生在科学研究中学习、在社会实践中学习，提高大学生解决实际问题的实践能力和创新创业能力，促进新工科、新农科、新文科、新医科建设，培养德智体美劳全面发展的高质量人才。</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省级校企合作实践教育基地包括工程实践教育中心、临床技能综合培训中心、农科教合作人才培养基地、法学教育实践基地、综合文科教育实践基地、综合理科实践教育基地、创新实践基地、创业实践基地等项目。</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基地建设可依托高新技术产业开发区、大学科技园或其他园区等，采取校所合作、校企联合、学校引进等方式进行，重在加强内涵建设、成果共享与示范引领。</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重点支持紧密围绕我省高校社会急需、量大面广的应用型学科专业，由一所或几所高校集中优势力量与省内一家或几家大中型企业，共建校企合作实践教育基地。多所高校与同一企事业单位共建实践基地的，应指定牵头高校负责项目落实。校企双方应签署正式合作协议，中心可采取嵌入方式建在高校，也可建在某一家或某一类企业。建设实践基地的企事业单位应在行业领域具有鲜明的特色和明显的优势，具有承担大学生实践教学任务的经验和良好条件。　</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大学生校外实践教育基地应具有健全的组织管理体系，制定并落实教学运行、学生管理、安全保障等规章制度，并由校企双方主要领导担任实践基地的负责人。</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大学生校外实践教育基地的指导教师队伍应由高校教师和企事业单位的专业技术人员、管理人员共同组成，师资力量能够满足实践基地的教学需求。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建成后的实践教育基地主要承担合作高校实践教学和合作企业职工培训任务，同时面向省内其它高校和社会开放，共享优质实践教育资源。</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项目负责人应具备副教授及以上职称，且具备领导和统筹整合校内外相关教育资源的能力。</w:t>
      </w:r>
    </w:p>
    <w:p>
      <w:pPr>
        <w:pStyle w:val="4"/>
        <w:spacing w:before="435" w:beforeLines="100" w:after="0" w:line="560" w:lineRule="exact"/>
        <w:ind w:firstLine="723" w:firstLineChars="200"/>
        <w:rPr>
          <w:rFonts w:ascii="仿宋" w:hAnsi="仿宋" w:eastAsia="仿宋"/>
          <w:sz w:val="36"/>
          <w:szCs w:val="36"/>
        </w:rPr>
      </w:pPr>
      <w:bookmarkStart w:id="268" w:name="_Toc86068902"/>
      <w:bookmarkStart w:id="269" w:name="_Toc84708561"/>
      <w:r>
        <w:rPr>
          <w:rFonts w:ascii="仿宋" w:hAnsi="仿宋" w:eastAsia="仿宋"/>
          <w:sz w:val="36"/>
          <w:szCs w:val="36"/>
        </w:rPr>
        <w:t>4-</w:t>
      </w:r>
      <w:bookmarkStart w:id="270" w:name="_Hlk84844217"/>
      <w:r>
        <w:rPr>
          <w:rFonts w:ascii="仿宋" w:hAnsi="仿宋" w:eastAsia="仿宋"/>
          <w:sz w:val="36"/>
          <w:szCs w:val="36"/>
        </w:rPr>
        <w:t>4</w:t>
      </w:r>
      <w:r>
        <w:rPr>
          <w:rFonts w:hint="eastAsia" w:ascii="仿宋" w:hAnsi="仿宋" w:eastAsia="仿宋"/>
          <w:sz w:val="36"/>
          <w:szCs w:val="36"/>
        </w:rPr>
        <w:t>研究生协同育人基地</w:t>
      </w:r>
      <w:bookmarkEnd w:id="268"/>
      <w:bookmarkEnd w:id="269"/>
      <w:bookmarkEnd w:id="270"/>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研究生协同育人基地分为产教融合基地和科教融合基地。产教融合基地是培养单位为加强专业学位研究生实践能力培养，与行业、企业、社会组织等单位共同建立的人才培养平台，是专业学位研究生进行专业实践的主要场所，是产学结合的重要载体。加强基地建设，是专业学位研究生实践能力培养的基本要求，是推动教育理念转变、深化培养模式改革、提高培养质量的重要保证。重点依托产教融合型企业和产教融合型城市，大力开展研究生联合培养基地建设，重在加强内涵建设、成果共享与示范引领。</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科教融合基地是联合中科院等大院大所加强学术学位研究生知识创新能力培养，加强系统科研训练，以大团队、大平台、大项目支撑高质量研究生培养，推动高校结合重大科学计划、重大科技项目、重大科技创新平台，建设一批学术型研究生创新基地。</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创新建设模式，构建长效机制。要根据社会需求和人才培养目标，坚持创新，讲求实效，积极探索多种形式的联合培养机制。充分发挥合作单位在研究生培养过程中的积极性、主动性和创造性，共同制定培养目标、建设相关课程、全程参与培养过程、评价培养质量，建立有机融合的协同育人模式。以基地建设为纽带，充分发挥各自优势，构建人才培养、科学研究、成果转化、社会服务、文化传播等多元一体、互惠共赢的资源共享机制和合作平台。</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健全标准体系，规范基地管理。协调合作单位，建立健全基地管理体系，组建基地运行专门管理机构，完善管理制度和运行机制，妥善解决知识产权归属等问题，明确各方责权利，推动基地科学化管理。建立多样化的基地评价体系，定期开展自我评估，重点考核基地人才培养的实际效果。</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严格培养过程，创新培养模式。要依托基地，建立健全合作单位在招生录取、课程教学、实践训练和学位论文等方面全程参与研究生培养的合作机制。会同合作单位，根据培养方案，结合基地实际，制订研究生在基地期间的培养细则，明确培养考核要求，落实学生在培养单位与培养基地的时间分配和具体培养内容，加强对基地期间培养过程监督。要紧密结合基地实际，创新培养模式，通过采用阶段考核和终期考核相结合等方式，加强对研究生实践能力的培养。</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加强导师队伍建设，产教融合基地要构建“双师型”团队，科教融合基地要建立“学术共同体”团队。要完善研究生导师遴选机制，在合作单位中遴选一批思想政治素质过硬、师德高尚、实践经验丰富和学术水平较高的人员担任研究生实践教学的导师，建立基地导师定期培训、考核和退出制度，有针对性地提升基地导师实践指导能力和水平。选派青年教师到基地挂职锻炼或参与实践教学，提高实践教学能力。建立校内外导师定期交流合作机制，共同制定培养计划，共同参与指导，构建分工明确、优势互补、通力合作的“双师型”团队，实现培养单位人才培养规格与行业、企业人才需求之间的有机衔接。</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重点支持紧密围绕我省十大新兴产业重点领域相关学科专业，由一所或几所高校集中优势力量与省内一家或几家大中型企业、科研院所，共建协同育人培养基地。多所高校与同一单位共建实践基地的，应指定牵头高校负责项目落实。校企双方应签署正式合作协议，中心可采取嵌入方式建在高校，也可建在某一家。</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建设基地的企事业单位应在行业领域具有鲜明的特色和明显的优势，原则上是龙头企业或大院大所，具有承担研究生教学科研任务的经验和良好条件。　</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基地应具有健全的组织管理体系，制定并落实教学运行、学生管理、安全保障等规章制度，由校企双方主要领导担任实践基地的负责人，并且已经接收一定规模的研究生开展相关的教学科研活动。</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基地的指导教师队伍应由高校教师和企事业单位的专业技术人员、管理人员共同组成，师资力量能够满足实践基地的教学需求。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建成后的基地主要承担合作高校研究生的实践教学任务和工程项目研发，同时面向省内其它高校和社会开放，共享优质教育资源。</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w:t>
      </w:r>
      <w:r>
        <w:rPr>
          <w:rFonts w:hint="eastAsia" w:ascii="仿宋" w:hAnsi="仿宋" w:eastAsia="仿宋"/>
          <w:color w:val="000000" w:themeColor="text1"/>
          <w:kern w:val="0"/>
          <w:szCs w:val="36"/>
          <w14:textFill>
            <w14:solidFill>
              <w14:schemeClr w14:val="tx1"/>
            </w14:solidFill>
          </w14:textFill>
        </w:rPr>
        <w:t>项目负责人应具备教授职称，且具备领导和统筹整合校内外相关教育资源的能力。</w:t>
      </w:r>
    </w:p>
    <w:p>
      <w:pPr>
        <w:pStyle w:val="4"/>
        <w:spacing w:before="435" w:beforeLines="100" w:after="0" w:line="560" w:lineRule="exact"/>
        <w:ind w:firstLine="723" w:firstLineChars="200"/>
        <w:rPr>
          <w:rFonts w:ascii="仿宋" w:hAnsi="仿宋" w:eastAsia="仿宋"/>
          <w:sz w:val="36"/>
          <w:szCs w:val="36"/>
        </w:rPr>
      </w:pPr>
      <w:bookmarkStart w:id="271" w:name="_Toc84708562"/>
      <w:bookmarkStart w:id="272" w:name="_Toc86068903"/>
      <w:r>
        <w:rPr>
          <w:rFonts w:ascii="仿宋" w:hAnsi="仿宋" w:eastAsia="仿宋"/>
          <w:sz w:val="36"/>
          <w:szCs w:val="36"/>
        </w:rPr>
        <w:t xml:space="preserve">4-5 </w:t>
      </w:r>
      <w:r>
        <w:rPr>
          <w:rFonts w:hint="eastAsia" w:ascii="仿宋" w:hAnsi="仿宋" w:eastAsia="仿宋"/>
          <w:sz w:val="36"/>
          <w:szCs w:val="36"/>
        </w:rPr>
        <w:t>耕读教育实践基地</w:t>
      </w:r>
      <w:bookmarkEnd w:id="271"/>
      <w:bookmarkEnd w:id="272"/>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为深入贯彻教育部《加强和改进涉农高校耕读教育工作方案》文件精神，对涉农高校加强耕读教育力度，以课程实践和耕读传家为关键，紧密结合现代农业发展和人才培养实际，把握耕读教育基本内涵、构建耕读教育课程教材体系、多渠道拓展实践教学场所、建设专兼结合的耕读教育教师队伍、加强耕读传家校园文化建设，为全面推进乡村振兴和加快农业农村现代化提供强有力的人才保障。</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涉农高校依托农科教基地、农业文化遗产地、国家现代农业园等社会资源，以及农民丰收节、美丽乡村建设等活动，建设一批耕读文化教育实践基地，打造一批劳动教育品牌项目。</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要以扎根“三农”为关键、以培养知行合一为重点，既要强化学生耕读文化学习，增强学生爱国爱民之情怀，又要把教育教学与农业生产实际相结合，着力提升学生专业知识水平和现场分析问题、解决问题的能力。</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编写中华农耕文明等教材，强化有关中华农耕文明、乡土民俗文化、乡村治理等课程教学，加强农业特色通识教育课程体系建设，体现现代农业新技术新业态新变化，强化生态文明教育，培养学生“大国三农”情怀，深度挖掘提炼专业知识体系中所蕴含的耕读教育元素，科学合理地融入课程教学中，积极引导学生把论文写在祖国大地上。</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每学期有计划地安排学生到农村、到林区、到实践基地、到生产一线现场调研考察、实地学习，增强学生服务“三农”和农业农村现代化的使命感和责任感，促进建设区域性共建共享农林实践教学基地，让农林教育走出“书本”、走下“黑板”，让学生走出教室、走进山水林田湖草，涵养学生勤俭、奋斗、创新和奉献的劳动精神，增强学生在“希望的田野”干事创业的能力。</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开展耕读教育专项培训，提高教师耕读育人的意识和专业化水平，培育和造就一支理想信念与道德情操兼具、教学与实践能力兼备、专职与兼职互补的“双师型”教师队伍。</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坚定文化自信，将中华耕读文化融入校园文化建设，突出思想引领，以“名师讲堂”“博读经典”等活动形式，推进耕读文明进校园、进课堂，让学生汲取中华优秀传统文化的精髓，强化榜样带动，以师生、校友中的优秀典型人物激励师生践行“勤耕重读”的理念，引导和鼓励学生激扬青春、报国奉献。</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现有运行稳定、成效明显的校外实践基地；新建校外实践基地，对依托大型农场建设劳动教育、耕读教育实践基地均可申报。</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有明确的教育目标和内容，能满足劳动教育、耕读教育实践教学要求；产教融合示范基地应在深化产教融合协同育人，促进教育链、人才链与产业链、创新链有机衔接方面成效显著，发挥示范引领作用。</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3.具备开展学生实践教育所需的基本生活、学习条件，具有劳动保护、安全保障，场所与设施能满足教学需要</w:t>
      </w:r>
      <w:r>
        <w:rPr>
          <w:rFonts w:hint="eastAsia" w:ascii="仿宋" w:hAnsi="仿宋" w:eastAsia="仿宋"/>
          <w:color w:val="000000" w:themeColor="text1"/>
          <w:kern w:val="0"/>
          <w:szCs w:val="36"/>
          <w14:textFill>
            <w14:solidFill>
              <w14:schemeClr w14:val="tx1"/>
            </w14:solidFill>
          </w14:textFill>
        </w:rPr>
        <w:t>。</w:t>
      </w:r>
    </w:p>
    <w:p>
      <w:pPr>
        <w:widowControl/>
        <w:adjustRightInd w:val="0"/>
        <w:spacing w:line="560" w:lineRule="exact"/>
        <w:ind w:firstLine="640" w:firstLineChars="200"/>
        <w:rPr>
          <w:rFonts w:ascii="仿宋" w:hAnsi="仿宋" w:eastAsia="仿宋"/>
          <w:kern w:val="0"/>
          <w:szCs w:val="36"/>
        </w:rPr>
      </w:pPr>
      <w:r>
        <w:rPr>
          <w:rFonts w:ascii="仿宋" w:hAnsi="仿宋" w:eastAsia="仿宋"/>
          <w:color w:val="000000" w:themeColor="text1"/>
          <w:kern w:val="0"/>
          <w:szCs w:val="36"/>
          <w14:textFill>
            <w14:solidFill>
              <w14:schemeClr w14:val="tx1"/>
            </w14:solidFill>
          </w14:textFill>
        </w:rPr>
        <w:t>4.具有对学生实践教育活动进行组织和管理的能力以及较高水平的指导教师（技术）队伍，</w:t>
      </w:r>
      <w:r>
        <w:rPr>
          <w:rFonts w:hint="eastAsia" w:ascii="仿宋" w:hAnsi="仿宋" w:eastAsia="仿宋"/>
          <w:kern w:val="0"/>
          <w:szCs w:val="36"/>
        </w:rPr>
        <w:t>鼓励聘用企业技术人员、农林科技专家、乡村工匠、种养能手等兼任耕读教育师资。</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科学研究、生产经营及资源生态等方面在所在区域或行业具有代表性，具有较为先进的技术、管理水平。</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w:t>
      </w:r>
      <w:r>
        <w:rPr>
          <w:rFonts w:hint="eastAsia" w:ascii="仿宋" w:hAnsi="仿宋" w:eastAsia="仿宋"/>
          <w:color w:val="000000" w:themeColor="text1"/>
          <w:kern w:val="0"/>
          <w:szCs w:val="36"/>
          <w14:textFill>
            <w14:solidFill>
              <w14:schemeClr w14:val="tx1"/>
            </w14:solidFill>
          </w14:textFill>
        </w:rPr>
        <w:t>相对稳定，原则上每年每次可以接受</w:t>
      </w:r>
      <w:r>
        <w:rPr>
          <w:rFonts w:ascii="仿宋" w:hAnsi="仿宋" w:eastAsia="仿宋"/>
          <w:color w:val="000000" w:themeColor="text1"/>
          <w:kern w:val="0"/>
          <w:szCs w:val="36"/>
          <w14:textFill>
            <w14:solidFill>
              <w14:schemeClr w14:val="tx1"/>
            </w14:solidFill>
          </w14:textFill>
        </w:rPr>
        <w:t>15人以上学生开展校外实践教育活动。</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7.</w:t>
      </w:r>
      <w:r>
        <w:rPr>
          <w:rFonts w:hint="eastAsia" w:ascii="仿宋" w:hAnsi="仿宋" w:eastAsia="仿宋"/>
          <w:color w:val="000000" w:themeColor="text1"/>
          <w:kern w:val="0"/>
          <w:szCs w:val="36"/>
          <w14:textFill>
            <w14:solidFill>
              <w14:schemeClr w14:val="tx1"/>
            </w14:solidFill>
          </w14:textFill>
        </w:rPr>
        <w:t>面向涉农本科高校</w:t>
      </w:r>
      <w:r>
        <w:rPr>
          <w:rFonts w:ascii="仿宋" w:hAnsi="仿宋" w:eastAsia="仿宋"/>
          <w:color w:val="000000" w:themeColor="text1"/>
          <w:kern w:val="0"/>
          <w:szCs w:val="36"/>
          <w14:textFill>
            <w14:solidFill>
              <w14:schemeClr w14:val="tx1"/>
            </w14:solidFill>
          </w14:textFill>
        </w:rPr>
        <w:t>。</w:t>
      </w:r>
    </w:p>
    <w:p>
      <w:pPr>
        <w:pStyle w:val="4"/>
        <w:spacing w:before="435" w:beforeLines="100" w:after="0" w:line="560" w:lineRule="exact"/>
        <w:ind w:firstLine="723" w:firstLineChars="200"/>
        <w:rPr>
          <w:rFonts w:ascii="仿宋" w:hAnsi="仿宋" w:eastAsia="仿宋"/>
          <w:sz w:val="36"/>
          <w:szCs w:val="36"/>
        </w:rPr>
      </w:pPr>
      <w:bookmarkStart w:id="273" w:name="_Toc86068904"/>
      <w:bookmarkStart w:id="274" w:name="_Toc84708563"/>
      <w:bookmarkStart w:id="275" w:name="_Hlk84774326"/>
      <w:r>
        <w:rPr>
          <w:rFonts w:ascii="仿宋" w:hAnsi="仿宋" w:eastAsia="仿宋"/>
          <w:sz w:val="36"/>
          <w:szCs w:val="36"/>
        </w:rPr>
        <w:t xml:space="preserve">4-6 </w:t>
      </w:r>
      <w:r>
        <w:rPr>
          <w:rFonts w:hint="eastAsia" w:ascii="仿宋" w:hAnsi="仿宋" w:eastAsia="仿宋"/>
          <w:sz w:val="36"/>
          <w:szCs w:val="36"/>
        </w:rPr>
        <w:t>全科医学实践教学示范基地</w:t>
      </w:r>
      <w:bookmarkEnd w:id="273"/>
      <w:bookmarkEnd w:id="274"/>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为深入贯彻教育部《国务院办公厅关于深化医教协同</w:t>
      </w:r>
      <w:r>
        <w:rPr>
          <w:rFonts w:ascii="仿宋" w:hAnsi="仿宋" w:eastAsia="仿宋"/>
          <w:color w:val="000000" w:themeColor="text1"/>
          <w:kern w:val="0"/>
          <w:szCs w:val="36"/>
          <w14:textFill>
            <w14:solidFill>
              <w14:schemeClr w14:val="tx1"/>
            </w14:solidFill>
          </w14:textFill>
        </w:rPr>
        <w:t xml:space="preserve"> </w:t>
      </w:r>
      <w:r>
        <w:rPr>
          <w:rFonts w:hint="eastAsia" w:ascii="仿宋" w:hAnsi="仿宋" w:eastAsia="仿宋"/>
          <w:color w:val="000000" w:themeColor="text1"/>
          <w:kern w:val="0"/>
          <w:szCs w:val="36"/>
          <w14:textFill>
            <w14:solidFill>
              <w14:schemeClr w14:val="tx1"/>
            </w14:solidFill>
          </w14:textFill>
        </w:rPr>
        <w:t>进一步推进医学教育改</w:t>
      </w:r>
      <w:bookmarkEnd w:id="275"/>
      <w:r>
        <w:rPr>
          <w:rFonts w:hint="eastAsia" w:ascii="仿宋" w:hAnsi="仿宋" w:eastAsia="仿宋"/>
          <w:color w:val="000000" w:themeColor="text1"/>
          <w:kern w:val="0"/>
          <w:szCs w:val="36"/>
          <w14:textFill>
            <w14:solidFill>
              <w14:schemeClr w14:val="tx1"/>
            </w14:solidFill>
          </w14:textFill>
        </w:rPr>
        <w:t>革与发展的意见》文件精神，紧紧围绕健康中国战略实施，树立“大健康”理念，深化医教协同，推进以胜任力为导向的教育教学改革，优化服务生命全周期、健康全过程的医学专业结构，促进信息技术与医学教育深度融合，建设我省特色、国内水平的一流医学专业，培养一流医学人才，服务健康中国建设。</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不同类型医学院校找准办学定位，突出办学特色，加快医学教育由“以疾病治疗为中心”向“以促进健康为中心”转变，根据专业人才培养目标培养医学生预防、诊疗、养生保健、康复等服务健康全过程的知识能力素质，强化医学生基本理论、基本知识、基本技能的培养。加强全科医学教育，强化实践教学。将“互联网</w:t>
      </w:r>
      <w:r>
        <w:rPr>
          <w:rFonts w:ascii="仿宋" w:hAnsi="仿宋" w:eastAsia="仿宋"/>
          <w:color w:val="000000" w:themeColor="text1"/>
          <w:kern w:val="0"/>
          <w:szCs w:val="36"/>
          <w14:textFill>
            <w14:solidFill>
              <w14:schemeClr w14:val="tx1"/>
            </w14:solidFill>
          </w14:textFill>
        </w:rPr>
        <w:t>+健康医疗”“人工智能+健康医疗”等医学领域最新知识、最新技术、最新方法更新到教学内容中，深入推进以学生自主学习为导向的教学方式方法改革。</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现有运行稳定、成效明显的校外实践基地；新建校外实践基地，对依托医院建设全科医学实践教学示范基地均可申报。</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应具有健全的组织管理体系，制定并落实教学运行、学生管理、安全保障等规章制度，并由双方主要领导担任实践基地的负责人。具备开展学生实践教育所需的基本生活、学习条件，具有安全保障，场所与设施能满足教学需要</w:t>
      </w:r>
      <w:r>
        <w:rPr>
          <w:rFonts w:hint="eastAsia" w:ascii="仿宋" w:hAnsi="仿宋" w:eastAsia="仿宋"/>
          <w:color w:val="000000" w:themeColor="text1"/>
          <w:kern w:val="0"/>
          <w:szCs w:val="36"/>
          <w14:textFill>
            <w14:solidFill>
              <w14:schemeClr w14:val="tx1"/>
            </w14:solidFill>
          </w14:textFill>
        </w:rPr>
        <w:t>。</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3.项目负责人具备领导和统筹整合校内外相关教育资源的能力，项目团队具有较高专业指导水平。</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面向涉医类本科高校</w:t>
      </w:r>
      <w:r>
        <w:rPr>
          <w:rFonts w:ascii="仿宋" w:hAnsi="仿宋" w:eastAsia="仿宋"/>
          <w:color w:val="000000" w:themeColor="text1"/>
          <w:kern w:val="0"/>
          <w:szCs w:val="36"/>
          <w14:textFill>
            <w14:solidFill>
              <w14:schemeClr w14:val="tx1"/>
            </w14:solidFill>
          </w14:textFill>
        </w:rPr>
        <w:t>。</w:t>
      </w:r>
    </w:p>
    <w:p>
      <w:pPr>
        <w:pStyle w:val="4"/>
        <w:spacing w:before="435" w:beforeLines="100" w:after="0" w:line="560" w:lineRule="exact"/>
        <w:ind w:firstLine="723" w:firstLineChars="200"/>
        <w:rPr>
          <w:rFonts w:ascii="仿宋" w:hAnsi="仿宋" w:eastAsia="仿宋"/>
          <w:sz w:val="36"/>
          <w:szCs w:val="36"/>
        </w:rPr>
      </w:pPr>
      <w:bookmarkStart w:id="276" w:name="_Toc86068905"/>
      <w:r>
        <w:rPr>
          <w:rFonts w:ascii="仿宋" w:hAnsi="仿宋" w:eastAsia="仿宋"/>
          <w:sz w:val="36"/>
          <w:szCs w:val="36"/>
        </w:rPr>
        <w:t xml:space="preserve">4-7 </w:t>
      </w:r>
      <w:r>
        <w:rPr>
          <w:rFonts w:hint="eastAsia" w:ascii="仿宋" w:hAnsi="仿宋" w:eastAsia="仿宋"/>
          <w:sz w:val="36"/>
          <w:szCs w:val="36"/>
        </w:rPr>
        <w:t>虚拟教研室</w:t>
      </w:r>
      <w:bookmarkEnd w:id="276"/>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探索“智能</w:t>
      </w:r>
      <w:r>
        <w:rPr>
          <w:rFonts w:ascii="仿宋" w:hAnsi="仿宋" w:eastAsia="仿宋"/>
          <w:color w:val="000000" w:themeColor="text1"/>
          <w:kern w:val="0"/>
          <w:szCs w:val="36"/>
          <w14:textFill>
            <w14:solidFill>
              <w14:schemeClr w14:val="tx1"/>
            </w14:solidFill>
          </w14:textFill>
        </w:rPr>
        <w:t>+”时代新型基层教学组织的建设标准、建设路径、运行模式等；通过3-5年的努力，建成我省高等教育虚拟教研室信息平台，建设一批理念先进、覆盖全面、功能完备的虚拟教研室，锻造一批高水平教学团队，培育一批教学研究与实践成果，打造教师教学发展共同体和质量文化，</w:t>
      </w:r>
      <w:r>
        <w:rPr>
          <w:rFonts w:hint="eastAsia" w:ascii="仿宋" w:hAnsi="仿宋" w:eastAsia="仿宋"/>
          <w:color w:val="000000" w:themeColor="text1"/>
          <w:kern w:val="0"/>
          <w:szCs w:val="36"/>
          <w14:textFill>
            <w14:solidFill>
              <w14:schemeClr w14:val="tx1"/>
            </w14:solidFill>
          </w14:textFill>
        </w:rPr>
        <w:t>全面提升教师教学能力。引导教师回归教学、热爱教学、研究教学，为高等教育高质量发展提供有力支撑。</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创新教研形态。充分运用信息技术，探索突破时空限制、高效便捷、形式多样、“线上</w:t>
      </w:r>
      <w:r>
        <w:rPr>
          <w:rFonts w:ascii="仿宋" w:hAnsi="仿宋" w:eastAsia="仿宋"/>
          <w:color w:val="000000" w:themeColor="text1"/>
          <w:kern w:val="0"/>
          <w:szCs w:val="36"/>
          <w14:textFill>
            <w14:solidFill>
              <w14:schemeClr w14:val="tx1"/>
            </w14:solidFill>
          </w14:textFill>
        </w:rPr>
        <w:t>+线下”结合的教师教研模式，形成基层教学组织建设管理的新思路、新方法、新范式，充分调动教师的教学活力，厚植教师教学成长沃土</w:t>
      </w:r>
      <w:r>
        <w:rPr>
          <w:rFonts w:hint="eastAsia" w:ascii="仿宋" w:hAnsi="仿宋" w:eastAsia="仿宋"/>
          <w:color w:val="000000" w:themeColor="text1"/>
          <w:kern w:val="0"/>
          <w:szCs w:val="36"/>
          <w14:textFill>
            <w14:solidFill>
              <w14:schemeClr w14:val="tx1"/>
            </w14:solidFill>
          </w14:textFill>
        </w:rPr>
        <w:t>。</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加强教学研究。依托虚拟教研室，推动教师加强对专业建设、课程实施、教学内容、教学方法、教学手段、教学评价等方面的研究探索，提升教学研究的意识，凝练和推广研究成果。</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共建优质资源。虚拟教研室成员在充分研究交流的基础上，协同共建人才培养方案、教学大纲、知识图谱、教学视频、电子课件、习题试题、教学案例、实验项目、实训项目、数据集等教学资源，形成优质共享的教学资源库</w:t>
      </w:r>
      <w:r>
        <w:rPr>
          <w:rFonts w:hint="eastAsia" w:ascii="仿宋" w:hAnsi="仿宋" w:eastAsia="仿宋"/>
          <w:color w:val="000000" w:themeColor="text1"/>
          <w:kern w:val="0"/>
          <w:szCs w:val="36"/>
          <w14:textFill>
            <w14:solidFill>
              <w14:schemeClr w14:val="tx1"/>
            </w14:solidFill>
          </w14:textFill>
        </w:rPr>
        <w:t>。</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开展教师培训。组织开展常态化教师培训，发挥省级以上教学团队、教学名师、一流课程的示范引领作用，推广成熟有效的人才培养模式、课程实施方案，促进一线教师教学发展。</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5.在建设范围方面，虚拟教研室分为校内、区域性教研室，鼓励建设区域性虚拟教研室；在建设内容方面，虚拟教研室分为课程（群）教学类、专业建设类、教学研究改革专题类教研室等类型。</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1.虚拟教研室已有实体教研室建设基础；教研室所依托专业或课程已获批“</w:t>
      </w:r>
      <w:bookmarkStart w:id="277" w:name="_Hlk84780375"/>
      <w:r>
        <w:rPr>
          <w:rFonts w:ascii="仿宋" w:hAnsi="仿宋" w:eastAsia="仿宋"/>
          <w:color w:val="000000" w:themeColor="text1"/>
          <w:kern w:val="0"/>
          <w:szCs w:val="36"/>
          <w14:textFill>
            <w14:solidFill>
              <w14:schemeClr w14:val="tx1"/>
            </w14:solidFill>
          </w14:textFill>
        </w:rPr>
        <w:t>国家级</w:t>
      </w:r>
      <w:bookmarkEnd w:id="277"/>
      <w:r>
        <w:rPr>
          <w:rFonts w:ascii="仿宋" w:hAnsi="仿宋" w:eastAsia="仿宋"/>
          <w:color w:val="000000" w:themeColor="text1"/>
          <w:kern w:val="0"/>
          <w:szCs w:val="36"/>
          <w14:textFill>
            <w14:solidFill>
              <w14:schemeClr w14:val="tx1"/>
            </w14:solidFill>
          </w14:textFill>
        </w:rPr>
        <w:t>一流专业建设点”或“国家级一流课程”</w:t>
      </w:r>
      <w:r>
        <w:rPr>
          <w:rFonts w:hint="eastAsia" w:ascii="仿宋" w:hAnsi="仿宋" w:eastAsia="仿宋"/>
          <w:color w:val="000000" w:themeColor="text1"/>
          <w:kern w:val="0"/>
          <w:szCs w:val="36"/>
          <w14:textFill>
            <w14:solidFill>
              <w14:schemeClr w14:val="tx1"/>
            </w14:solidFill>
          </w14:textFill>
        </w:rPr>
        <w:t>。</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教研室负责人应由省级教学名师、</w:t>
      </w:r>
      <w:bookmarkStart w:id="278" w:name="_Hlk84780269"/>
      <w:r>
        <w:rPr>
          <w:rFonts w:hint="eastAsia" w:ascii="仿宋" w:hAnsi="仿宋" w:eastAsia="仿宋"/>
          <w:color w:val="000000" w:themeColor="text1"/>
          <w:kern w:val="0"/>
          <w:szCs w:val="36"/>
          <w14:textFill>
            <w14:solidFill>
              <w14:schemeClr w14:val="tx1"/>
            </w14:solidFill>
          </w14:textFill>
        </w:rPr>
        <w:t>国家级</w:t>
      </w:r>
      <w:bookmarkEnd w:id="278"/>
      <w:r>
        <w:rPr>
          <w:rFonts w:hint="eastAsia" w:ascii="仿宋" w:hAnsi="仿宋" w:eastAsia="仿宋"/>
          <w:color w:val="000000" w:themeColor="text1"/>
          <w:kern w:val="0"/>
          <w:szCs w:val="36"/>
          <w14:textFill>
            <w14:solidFill>
              <w14:schemeClr w14:val="tx1"/>
            </w14:solidFill>
          </w14:textFill>
        </w:rPr>
        <w:t>一流专业负责人、国家级一流课程负责人等高水平教师担任；教研室成员不少于</w:t>
      </w:r>
      <w:r>
        <w:rPr>
          <w:rFonts w:ascii="仿宋" w:hAnsi="仿宋" w:eastAsia="仿宋"/>
          <w:color w:val="000000" w:themeColor="text1"/>
          <w:kern w:val="0"/>
          <w:szCs w:val="36"/>
          <w14:textFill>
            <w14:solidFill>
              <w14:schemeClr w14:val="tx1"/>
            </w14:solidFill>
          </w14:textFill>
        </w:rPr>
        <w:t>10人，具有相对稳定的高水平教学研究和实践团队</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 xml:space="preserve"> </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学校能够为虚拟教研室运行提供必要的保障措施，在教师教学工作量认定、绩效考核等方面明确激励机制。</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p>
    <w:p>
      <w:pPr>
        <w:pStyle w:val="3"/>
        <w:spacing w:after="0" w:line="560" w:lineRule="exact"/>
        <w:ind w:firstLine="723" w:firstLineChars="200"/>
        <w:rPr>
          <w:rFonts w:ascii="仿宋" w:hAnsi="仿宋" w:eastAsia="仿宋"/>
          <w:color w:val="000000" w:themeColor="text1"/>
          <w:kern w:val="0"/>
          <w:sz w:val="36"/>
          <w:szCs w:val="36"/>
          <w14:textFill>
            <w14:solidFill>
              <w14:schemeClr w14:val="tx1"/>
            </w14:solidFill>
          </w14:textFill>
        </w:rPr>
      </w:pPr>
      <w:bookmarkStart w:id="279" w:name="_Toc86068906"/>
      <w:bookmarkStart w:id="280" w:name="_Toc84708564"/>
      <w:r>
        <w:rPr>
          <w:rFonts w:ascii="仿宋" w:hAnsi="仿宋" w:eastAsia="仿宋"/>
          <w:color w:val="000000" w:themeColor="text1"/>
          <w:kern w:val="0"/>
          <w:sz w:val="36"/>
          <w:szCs w:val="36"/>
          <w14:textFill>
            <w14:solidFill>
              <w14:schemeClr w14:val="tx1"/>
            </w14:solidFill>
          </w14:textFill>
        </w:rPr>
        <w:t>5.教育教学改革研究项目</w:t>
      </w:r>
      <w:bookmarkEnd w:id="279"/>
      <w:bookmarkEnd w:id="280"/>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通过开展教育教学改革研究工作，引导全省本科高校广大教师和教学管理人员，结合我省高等教育改革发展实际和学校教学改革、人才培养工作实际，深入研究高等教育的本质、规律、特点及可持续发展过程中出现的新课题、新情况、新要求，以理论指导实践，进一步深化教学改革，推进教学创新，形成一批有一定深度和推广价值的教学成果，为提高我省高等教育质量奠定坚实的理论和实践基础。</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ascii="仿宋" w:hAnsi="仿宋" w:eastAsia="仿宋"/>
          <w:b/>
          <w:color w:val="000000" w:themeColor="text1"/>
          <w:kern w:val="0"/>
          <w:szCs w:val="36"/>
          <w14:textFill>
            <w14:solidFill>
              <w14:schemeClr w14:val="tx1"/>
            </w14:solidFill>
          </w14:textFill>
        </w:rPr>
        <w:t>二、</w:t>
      </w:r>
      <w:r>
        <w:rPr>
          <w:rFonts w:hint="eastAsia" w:ascii="仿宋" w:hAnsi="仿宋" w:eastAsia="仿宋"/>
          <w:b/>
          <w:color w:val="000000" w:themeColor="text1"/>
          <w:kern w:val="0"/>
          <w:szCs w:val="36"/>
          <w14:textFill>
            <w14:solidFill>
              <w14:schemeClr w14:val="tx1"/>
            </w14:solidFill>
          </w14:textFill>
        </w:rPr>
        <w:t>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教育教学改革研究项目应体现现代教育思想，具有科学性、创新性、前瞻性和实践性。加强对高等教育发展与人才培养战略、人才培养体制与模式、专业改革与专业建设、课程体系与教学内容、教学手段与方法、线上教学模式、教学管理与教学基本建设、师资队伍建设等方面的研究与实践。优先立项思想政治理论课教学重难点问题和教学方法改革创新、人才培养能力、各教学环节质量标准、质量保障与监控体系、课程评估、专业评估（认证）等方面的研究与实践。</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1.教育教学改革研究</w:t>
      </w:r>
      <w:r>
        <w:rPr>
          <w:rFonts w:hint="eastAsia" w:ascii="仿宋" w:hAnsi="仿宋" w:eastAsia="仿宋"/>
          <w:color w:val="000000" w:themeColor="text1"/>
          <w:kern w:val="0"/>
          <w:szCs w:val="36"/>
          <w14:textFill>
            <w14:solidFill>
              <w14:schemeClr w14:val="tx1"/>
            </w14:solidFill>
          </w14:textFill>
        </w:rPr>
        <w:t>项目分为重大、重点和一般三个类别；</w:t>
      </w:r>
      <w:r>
        <w:rPr>
          <w:rFonts w:ascii="仿宋" w:hAnsi="仿宋" w:eastAsia="仿宋"/>
          <w:color w:val="000000" w:themeColor="text1"/>
          <w:kern w:val="0"/>
          <w:szCs w:val="36"/>
          <w14:textFill>
            <w14:solidFill>
              <w14:schemeClr w14:val="tx1"/>
            </w14:solidFill>
          </w14:textFill>
        </w:rPr>
        <w:t>已</w:t>
      </w:r>
      <w:r>
        <w:rPr>
          <w:rFonts w:hint="eastAsia" w:ascii="仿宋" w:hAnsi="仿宋" w:eastAsia="仿宋"/>
          <w:color w:val="000000" w:themeColor="text1"/>
          <w:kern w:val="0"/>
          <w:szCs w:val="36"/>
          <w14:textFill>
            <w14:solidFill>
              <w14:schemeClr w14:val="tx1"/>
            </w14:solidFill>
          </w14:textFill>
        </w:rPr>
        <w:t>获得省级及</w:t>
      </w:r>
      <w:r>
        <w:rPr>
          <w:rFonts w:ascii="仿宋" w:hAnsi="仿宋" w:eastAsia="仿宋"/>
          <w:color w:val="000000" w:themeColor="text1"/>
          <w:kern w:val="0"/>
          <w:szCs w:val="36"/>
          <w14:textFill>
            <w14:solidFill>
              <w14:schemeClr w14:val="tx1"/>
            </w14:solidFill>
          </w14:textFill>
        </w:rPr>
        <w:t>以上</w:t>
      </w:r>
      <w:r>
        <w:rPr>
          <w:rFonts w:hint="eastAsia" w:ascii="仿宋" w:hAnsi="仿宋" w:eastAsia="仿宋"/>
          <w:color w:val="000000" w:themeColor="text1"/>
          <w:kern w:val="0"/>
          <w:szCs w:val="36"/>
          <w14:textFill>
            <w14:solidFill>
              <w14:schemeClr w14:val="tx1"/>
            </w14:solidFill>
          </w14:textFill>
        </w:rPr>
        <w:t>立项的课题不再重复申报。</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符合社会经济发展需求，对标安徽省十大新兴产业发展布局，统筹推进产业、专业、就业“三业”一体。</w:t>
      </w:r>
      <w:r>
        <w:rPr>
          <w:rFonts w:ascii="仿宋" w:hAnsi="仿宋" w:eastAsia="仿宋"/>
          <w:color w:val="000000" w:themeColor="text1"/>
          <w:kern w:val="0"/>
          <w:szCs w:val="36"/>
          <w14:textFill>
            <w14:solidFill>
              <w14:schemeClr w14:val="tx1"/>
            </w14:solidFill>
          </w14:textFill>
        </w:rPr>
        <w:t>注重系统研究、整体优化、综合实践，</w:t>
      </w:r>
      <w:r>
        <w:rPr>
          <w:rFonts w:hint="eastAsia" w:ascii="仿宋" w:hAnsi="仿宋" w:eastAsia="仿宋"/>
          <w:color w:val="000000" w:themeColor="text1"/>
          <w:kern w:val="0"/>
          <w:szCs w:val="36"/>
          <w14:textFill>
            <w14:solidFill>
              <w14:schemeClr w14:val="tx1"/>
            </w14:solidFill>
          </w14:textFill>
        </w:rPr>
        <w:t>具有</w:t>
      </w:r>
      <w:r>
        <w:rPr>
          <w:rFonts w:ascii="仿宋" w:hAnsi="仿宋" w:eastAsia="仿宋"/>
          <w:color w:val="000000" w:themeColor="text1"/>
          <w:kern w:val="0"/>
          <w:szCs w:val="36"/>
          <w14:textFill>
            <w14:solidFill>
              <w14:schemeClr w14:val="tx1"/>
            </w14:solidFill>
          </w14:textFill>
        </w:rPr>
        <w:t>一定</w:t>
      </w:r>
      <w:r>
        <w:rPr>
          <w:rFonts w:hint="eastAsia" w:ascii="仿宋" w:hAnsi="仿宋" w:eastAsia="仿宋"/>
          <w:color w:val="000000" w:themeColor="text1"/>
          <w:kern w:val="0"/>
          <w:szCs w:val="36"/>
          <w14:textFill>
            <w14:solidFill>
              <w14:schemeClr w14:val="tx1"/>
            </w14:solidFill>
          </w14:textFill>
        </w:rPr>
        <w:t>应用推广性。</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原则上已列入校级立项研究计划，且研究时间超过一年以上的项目，具备一定的教学改革基础、环境和相应条件，在人员、财力、政策上有相应的保证，已取得一定研究成果；主持人所承担的省级及</w:t>
      </w:r>
      <w:r>
        <w:rPr>
          <w:rFonts w:ascii="仿宋" w:hAnsi="仿宋" w:eastAsia="仿宋"/>
          <w:color w:val="000000" w:themeColor="text1"/>
          <w:kern w:val="0"/>
          <w:szCs w:val="36"/>
          <w14:textFill>
            <w14:solidFill>
              <w14:schemeClr w14:val="tx1"/>
            </w14:solidFill>
          </w14:textFill>
        </w:rPr>
        <w:t>以上</w:t>
      </w:r>
      <w:r>
        <w:rPr>
          <w:rFonts w:hint="eastAsia" w:ascii="仿宋" w:hAnsi="仿宋" w:eastAsia="仿宋"/>
          <w:color w:val="000000" w:themeColor="text1"/>
          <w:kern w:val="0"/>
          <w:szCs w:val="36"/>
          <w14:textFill>
            <w14:solidFill>
              <w14:schemeClr w14:val="tx1"/>
            </w14:solidFill>
          </w14:textFill>
        </w:rPr>
        <w:t>教学研究项目已按规定程序结题，项目完成情况良好。</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要做到岗责相符，选题设计要和</w:t>
      </w:r>
      <w:r>
        <w:rPr>
          <w:rFonts w:ascii="仿宋" w:hAnsi="仿宋" w:eastAsia="仿宋"/>
          <w:color w:val="000000" w:themeColor="text1"/>
          <w:kern w:val="0"/>
          <w:szCs w:val="36"/>
          <w14:textFill>
            <w14:solidFill>
              <w14:schemeClr w14:val="tx1"/>
            </w14:solidFill>
          </w14:textFill>
        </w:rPr>
        <w:t>主持人</w:t>
      </w:r>
      <w:r>
        <w:rPr>
          <w:rFonts w:hint="eastAsia" w:ascii="仿宋" w:hAnsi="仿宋" w:eastAsia="仿宋"/>
          <w:color w:val="000000" w:themeColor="text1"/>
          <w:kern w:val="0"/>
          <w:szCs w:val="36"/>
          <w14:textFill>
            <w14:solidFill>
              <w14:schemeClr w14:val="tx1"/>
            </w14:solidFill>
          </w14:textFill>
        </w:rPr>
        <w:t>岗位相符。无行政职务的一线教师需聚焦研究课程建设、教学方法改革、教学技能提高、教师能力发展等微观教育教学问题；</w:t>
      </w:r>
      <w:r>
        <w:rPr>
          <w:rFonts w:ascii="仿宋" w:hAnsi="仿宋" w:eastAsia="仿宋"/>
          <w:color w:val="000000" w:themeColor="text1"/>
          <w:kern w:val="0"/>
          <w:szCs w:val="36"/>
          <w14:textFill>
            <w14:solidFill>
              <w14:schemeClr w14:val="tx1"/>
            </w14:solidFill>
          </w14:textFill>
        </w:rPr>
        <w:t>重大和重点</w:t>
      </w:r>
      <w:r>
        <w:rPr>
          <w:rFonts w:hint="eastAsia" w:ascii="仿宋" w:hAnsi="仿宋" w:eastAsia="仿宋"/>
          <w:color w:val="000000" w:themeColor="text1"/>
          <w:kern w:val="0"/>
          <w:szCs w:val="36"/>
          <w14:textFill>
            <w14:solidFill>
              <w14:schemeClr w14:val="tx1"/>
            </w14:solidFill>
          </w14:textFill>
        </w:rPr>
        <w:t>项目要采取自上而下的方法，由学校围绕本校在提升本科教学质量和其他需解决的重要问题，提出明确的选题方向（选题指南），采用委托或竞争申报方式，确定项目负责人。</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5.重大教学研究项目负责人应具备教授职称且具备领导和统筹整合相关教育资源的能力</w:t>
      </w:r>
      <w:r>
        <w:rPr>
          <w:rFonts w:hint="eastAsia" w:ascii="仿宋" w:hAnsi="仿宋" w:eastAsia="仿宋"/>
          <w:color w:val="000000" w:themeColor="text1"/>
          <w:kern w:val="0"/>
          <w:szCs w:val="36"/>
          <w14:textFill>
            <w14:solidFill>
              <w14:schemeClr w14:val="tx1"/>
            </w14:solidFill>
          </w14:textFill>
        </w:rPr>
        <w:t>；重点教学研究项目负责人应具有副教授及以上职称；</w:t>
      </w:r>
      <w:r>
        <w:rPr>
          <w:rFonts w:ascii="仿宋" w:hAnsi="仿宋" w:eastAsia="仿宋"/>
          <w:color w:val="000000" w:themeColor="text1"/>
          <w:kern w:val="0"/>
          <w:szCs w:val="36"/>
          <w14:textFill>
            <w14:solidFill>
              <w14:schemeClr w14:val="tx1"/>
            </w14:solidFill>
          </w14:textFill>
        </w:rPr>
        <w:t>一般教学研究项目负责人应具备讲师及以上职称</w:t>
      </w:r>
      <w:r>
        <w:rPr>
          <w:rFonts w:hint="eastAsia" w:ascii="仿宋" w:hAnsi="仿宋" w:eastAsia="仿宋"/>
          <w:color w:val="000000" w:themeColor="text1"/>
          <w:kern w:val="0"/>
          <w:szCs w:val="36"/>
          <w14:textFill>
            <w14:solidFill>
              <w14:schemeClr w14:val="tx1"/>
            </w14:solidFill>
          </w14:textFill>
        </w:rPr>
        <w:t>。学校领导原则上不得申报重点、一般</w:t>
      </w:r>
      <w:r>
        <w:rPr>
          <w:rFonts w:ascii="仿宋" w:hAnsi="仿宋" w:eastAsia="仿宋"/>
          <w:color w:val="000000" w:themeColor="text1"/>
          <w:kern w:val="0"/>
          <w:szCs w:val="36"/>
          <w14:textFill>
            <w14:solidFill>
              <w14:schemeClr w14:val="tx1"/>
            </w14:solidFill>
          </w14:textFill>
        </w:rPr>
        <w:t>教育教学改革研究</w:t>
      </w:r>
      <w:r>
        <w:rPr>
          <w:rFonts w:hint="eastAsia" w:ascii="仿宋" w:hAnsi="仿宋" w:eastAsia="仿宋"/>
          <w:color w:val="000000" w:themeColor="text1"/>
          <w:kern w:val="0"/>
          <w:szCs w:val="36"/>
          <w14:textFill>
            <w14:solidFill>
              <w14:schemeClr w14:val="tx1"/>
            </w14:solidFill>
          </w14:textFill>
        </w:rPr>
        <w:t>项目。</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w:t>
      </w:r>
      <w:r>
        <w:rPr>
          <w:rFonts w:hint="eastAsia" w:ascii="仿宋" w:hAnsi="仿宋" w:eastAsia="仿宋"/>
          <w:color w:val="000000" w:themeColor="text1"/>
          <w:kern w:val="0"/>
          <w:szCs w:val="36"/>
          <w14:textFill>
            <w14:solidFill>
              <w14:schemeClr w14:val="tx1"/>
            </w14:solidFill>
          </w14:textFill>
        </w:rPr>
        <w:t>在高校自主申报以外，省教育厅拟委托相关专家就我省本科教育热点难点问题开展课题研究，项目经费由受委托专家所在高校划拨相应经费，并为课题研究提供必要支持和服务保障。</w:t>
      </w:r>
    </w:p>
    <w:p>
      <w:pPr>
        <w:widowControl/>
        <w:adjustRightInd w:val="0"/>
        <w:snapToGri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7.</w:t>
      </w:r>
      <w:r>
        <w:rPr>
          <w:rFonts w:hint="eastAsia" w:ascii="仿宋" w:hAnsi="仿宋" w:eastAsia="仿宋"/>
          <w:color w:val="000000" w:themeColor="text1"/>
          <w:kern w:val="0"/>
          <w:szCs w:val="32"/>
          <w14:textFill>
            <w14:solidFill>
              <w14:schemeClr w14:val="tx1"/>
            </w14:solidFill>
          </w14:textFill>
        </w:rPr>
        <w:t>各高校申报重大教改项目数量原则上不超过</w:t>
      </w:r>
      <w:r>
        <w:rPr>
          <w:rFonts w:ascii="仿宋" w:hAnsi="仿宋" w:eastAsia="仿宋"/>
          <w:color w:val="000000" w:themeColor="text1"/>
          <w:kern w:val="0"/>
          <w:szCs w:val="32"/>
          <w14:textFill>
            <w14:solidFill>
              <w14:schemeClr w14:val="tx1"/>
            </w14:solidFill>
          </w14:textFill>
        </w:rPr>
        <w:t>3项，重点项目原则上不超过本校申报的省级教学研究项目总数的25%</w:t>
      </w: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思想政治理论课教研项目单设推荐名额，每校不超过3项，省教育厅组织评审委员会单独评审，根据申报材料的实际情况决定淘汰率和立项等级。</w:t>
      </w:r>
    </w:p>
    <w:p>
      <w:pPr>
        <w:pStyle w:val="3"/>
        <w:spacing w:after="0" w:line="560" w:lineRule="exact"/>
        <w:ind w:firstLine="723" w:firstLineChars="200"/>
        <w:rPr>
          <w:rFonts w:ascii="仿宋" w:hAnsi="仿宋" w:eastAsia="仿宋"/>
          <w:color w:val="000000" w:themeColor="text1"/>
          <w:kern w:val="0"/>
          <w:sz w:val="36"/>
          <w:szCs w:val="36"/>
          <w14:textFill>
            <w14:solidFill>
              <w14:schemeClr w14:val="tx1"/>
            </w14:solidFill>
          </w14:textFill>
        </w:rPr>
      </w:pPr>
      <w:bookmarkStart w:id="281" w:name="_Toc84708565"/>
      <w:bookmarkStart w:id="282" w:name="_Toc86068907"/>
      <w:r>
        <w:rPr>
          <w:rFonts w:ascii="仿宋" w:hAnsi="仿宋" w:eastAsia="仿宋"/>
          <w:color w:val="000000" w:themeColor="text1"/>
          <w:kern w:val="0"/>
          <w:sz w:val="36"/>
          <w:szCs w:val="36"/>
          <w14:textFill>
            <w14:solidFill>
              <w14:schemeClr w14:val="tx1"/>
            </w14:solidFill>
          </w14:textFill>
        </w:rPr>
        <w:t>6.大学生创新创业训练计划</w:t>
      </w:r>
      <w:bookmarkEnd w:id="281"/>
      <w:bookmarkEnd w:id="282"/>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一、计划目标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通过实施大学生创新创业训练计划，促进高等学校转变教育思想观念，改革人才培养模式，强化创新创业能力训练，增强我省高校大学生创新能力，以及在创新基础上的创业能力，培养高水平双创人才。</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二、计划内容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省级大学生创新创业训练计划内容包括：创新训练项目、创业训练项目和创业实践项目三类。</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创新训练项目是本科生个人或团队在导师指导下，自主完成创新性研究项目设计、研究条件准备和项目实施、研究报告撰写、成果（学术）交流等工作。</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创业训练项目是本科生团队在导师指导下，团队中每个学生在项目实施过程中扮演一个或多个具体的角色，完成商业计划书编制、可行性研究、模拟企业行业运行、参加企业行业实践、创业报告撰写等工作。</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创业实践项目是学生团队在学校导师和企业导师共同指导下，基于前期创新创业训练项目（或创新性实验）的成果，开发一项具有市场前景的创新性产品或者服务，并在此基础上开展创业实践活动。</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省级大学生创新创业训练计划的申报范围为省属本科院校。各校申报限额原则上不少于2020年大学生创新创业训练计划申报数。中国科学技术大学、合肥工业大学自行确定申报数。</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省级大学生创新创业训练计划项目立项和结项要实行答辩制度，验收时要重点考察项目成果，对项目没有实质性开展或者取得成果不明显的予以延期或者撤项。</w:t>
      </w:r>
    </w:p>
    <w:p>
      <w:pPr>
        <w:pStyle w:val="3"/>
        <w:spacing w:after="0" w:line="560" w:lineRule="exact"/>
        <w:ind w:firstLine="723" w:firstLineChars="200"/>
        <w:rPr>
          <w:rFonts w:ascii="仿宋" w:hAnsi="仿宋" w:eastAsia="仿宋"/>
          <w:color w:val="000000" w:themeColor="text1"/>
          <w:kern w:val="0"/>
          <w:sz w:val="36"/>
          <w:szCs w:val="36"/>
          <w14:textFill>
            <w14:solidFill>
              <w14:schemeClr w14:val="tx1"/>
            </w14:solidFill>
          </w14:textFill>
        </w:rPr>
      </w:pPr>
      <w:bookmarkStart w:id="283" w:name="_Toc84708566"/>
      <w:bookmarkStart w:id="284" w:name="_Toc86068908"/>
      <w:r>
        <w:rPr>
          <w:rFonts w:ascii="仿宋" w:hAnsi="仿宋" w:eastAsia="仿宋"/>
          <w:color w:val="000000" w:themeColor="text1"/>
          <w:kern w:val="0"/>
          <w:sz w:val="36"/>
          <w:szCs w:val="36"/>
          <w14:textFill>
            <w14:solidFill>
              <w14:schemeClr w14:val="tx1"/>
            </w14:solidFill>
          </w14:textFill>
        </w:rPr>
        <w:t>7.课程思政建设项目</w:t>
      </w:r>
      <w:bookmarkEnd w:id="283"/>
      <w:bookmarkEnd w:id="284"/>
    </w:p>
    <w:p>
      <w:pPr>
        <w:pStyle w:val="4"/>
        <w:spacing w:before="435" w:beforeLines="100" w:after="0" w:line="560" w:lineRule="exact"/>
        <w:ind w:firstLine="723" w:firstLineChars="200"/>
        <w:rPr>
          <w:rFonts w:ascii="仿宋" w:hAnsi="仿宋" w:eastAsia="仿宋"/>
          <w:sz w:val="36"/>
          <w:szCs w:val="36"/>
        </w:rPr>
      </w:pPr>
      <w:bookmarkStart w:id="285" w:name="_Toc84708567"/>
      <w:bookmarkStart w:id="286" w:name="_Toc86068909"/>
      <w:r>
        <w:rPr>
          <w:rFonts w:ascii="仿宋" w:hAnsi="仿宋" w:eastAsia="仿宋"/>
          <w:sz w:val="36"/>
          <w:szCs w:val="36"/>
        </w:rPr>
        <w:t>7-1</w:t>
      </w:r>
      <w:r>
        <w:rPr>
          <w:rFonts w:hint="eastAsia" w:ascii="仿宋" w:hAnsi="仿宋" w:eastAsia="仿宋"/>
          <w:sz w:val="36"/>
          <w:szCs w:val="36"/>
        </w:rPr>
        <w:t>课程思政建设示范中心</w:t>
      </w:r>
      <w:bookmarkEnd w:id="285"/>
      <w:bookmarkEnd w:id="286"/>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以习近平新时代中国特色社会主义思想为指导，</w:t>
      </w:r>
      <w:bookmarkStart w:id="287" w:name="_Hlk84786424"/>
      <w:r>
        <w:rPr>
          <w:rFonts w:hint="eastAsia" w:ascii="仿宋" w:hAnsi="仿宋" w:eastAsia="仿宋"/>
          <w:color w:val="000000" w:themeColor="text1"/>
          <w:kern w:val="0"/>
          <w:szCs w:val="36"/>
          <w14:textFill>
            <w14:solidFill>
              <w14:schemeClr w14:val="tx1"/>
            </w14:solidFill>
          </w14:textFill>
        </w:rPr>
        <w:t>坚持立德树人，强化示范引领，</w:t>
      </w:r>
      <w:bookmarkEnd w:id="287"/>
      <w:r>
        <w:rPr>
          <w:rFonts w:hint="eastAsia" w:ascii="仿宋" w:hAnsi="仿宋" w:eastAsia="仿宋"/>
          <w:color w:val="000000" w:themeColor="text1"/>
          <w:kern w:val="0"/>
          <w:szCs w:val="36"/>
          <w14:textFill>
            <w14:solidFill>
              <w14:schemeClr w14:val="tx1"/>
            </w14:solidFill>
          </w14:textFill>
        </w:rPr>
        <w:t>强化资源共享，全面推进课程思政高质量建设，将思政工作体系贯通人才培养体系全过程，构建全员全程全方位育人大格局。</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面向普通本科教育和研究生教育，建立一批省级课程思政建设示范中心，全面推进不同类型学校的课程思政建设理论研究和教学实践，探索创新课程思政建设方法路径，构建全面覆盖、类型丰富、层次递进、相互支撑的课程思政体系，加快形成“校校有精品、门门有思政、课课有特色、人人重育人”的良好局面。</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聚焦课程思政教学实践和理论研究，发展定位准确，育人理念先进，工作规划清晰，任务职责明确，运行机制完备，建设特色鲜明；</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2.积极探索创新课程思政建设方法路径，形成具有推广价值的经验做法和高质量的研究成果，能够有效指导和有力推进学校、院系、教师不同层面的课程思政建设，并在校内外形成示范辐射效应；</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3.支持指导不同学科专业、不同类型课程，立足专业特色和课程育人特点开展课程思政建设，建成一批课程思政优质资源，建有宣传展示数字化平台，并开展推广共享；</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4.开展经常性的课程思政建设教师交流、观摩和培训活动，汇聚专业课和思政课教师合力，积极推动教师课程思政建设能力整体提高；</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5.建立课程思政建设质量评价体系和激励机制，推动学校将课程思政建设成效纳入院系、教师的绩效考核内容，不断提高教师开展课程思政建设的积极性主动性。</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288" w:name="_Hlk84845415"/>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中心负责人政治立场坚定，师德师风良好，对如何结合本校办学定位和专业特色开展课程思政建设有深刻理解，具有丰富的课程思政建设实践经验和理论研究成果。项目负责人应具备领导和统筹整合校内外相关教育资源的能力,中心人员配备科学合理，具有相应的课程思政建设实践经验和理论研究基础。</w:t>
      </w:r>
    </w:p>
    <w:bookmarkEnd w:id="288"/>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中心在政策、经费和条件等方面保障有力，具有开展课程思政教学设计、分享、展示、培训、研讨等活动的良好基础和支撑能力。</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3.所有已切实开展课程思政研究且已取得良好的成效的研究中心均可申报</w:t>
      </w:r>
      <w:r>
        <w:rPr>
          <w:rFonts w:hint="eastAsia" w:ascii="仿宋" w:hAnsi="仿宋" w:eastAsia="仿宋"/>
          <w:color w:val="000000" w:themeColor="text1"/>
          <w:kern w:val="0"/>
          <w:szCs w:val="36"/>
          <w14:textFill>
            <w14:solidFill>
              <w14:schemeClr w14:val="tx1"/>
            </w14:solidFill>
          </w14:textFill>
        </w:rPr>
        <w:t>，每校限报1项。省</w:t>
      </w:r>
      <w:r>
        <w:rPr>
          <w:rFonts w:ascii="仿宋" w:hAnsi="仿宋" w:eastAsia="仿宋"/>
          <w:color w:val="000000" w:themeColor="text1"/>
          <w:kern w:val="0"/>
          <w:szCs w:val="36"/>
          <w14:textFill>
            <w14:solidFill>
              <w14:schemeClr w14:val="tx1"/>
            </w14:solidFill>
          </w14:textFill>
        </w:rPr>
        <w:t>教育厅将组织专家进行严格评审，择优立项。</w:t>
      </w:r>
    </w:p>
    <w:p>
      <w:pPr>
        <w:pStyle w:val="4"/>
        <w:spacing w:before="435" w:beforeLines="100" w:after="0" w:line="560" w:lineRule="exact"/>
        <w:ind w:firstLine="723" w:firstLineChars="200"/>
        <w:rPr>
          <w:rFonts w:ascii="仿宋" w:hAnsi="仿宋" w:eastAsia="仿宋"/>
          <w:sz w:val="36"/>
          <w:szCs w:val="36"/>
        </w:rPr>
      </w:pPr>
      <w:bookmarkStart w:id="289" w:name="_Toc84708568"/>
      <w:bookmarkStart w:id="290" w:name="_Toc86068910"/>
      <w:r>
        <w:rPr>
          <w:rFonts w:ascii="仿宋" w:hAnsi="仿宋" w:eastAsia="仿宋"/>
          <w:sz w:val="36"/>
          <w:szCs w:val="36"/>
        </w:rPr>
        <w:t>7-2</w:t>
      </w:r>
      <w:r>
        <w:rPr>
          <w:rFonts w:hint="eastAsia" w:ascii="仿宋" w:hAnsi="仿宋" w:eastAsia="仿宋"/>
          <w:sz w:val="36"/>
          <w:szCs w:val="36"/>
        </w:rPr>
        <w:t>课程思政示范课程</w:t>
      </w:r>
      <w:bookmarkEnd w:id="289"/>
      <w:bookmarkEnd w:id="290"/>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深入实施《高等学校课程思政建设指导纲要》，坚持立德树人，强化示范引领，建成一批课程思政示范课程，全面推进不同类型学校的课程思政建设理论研究和教学实践，探索创新课程思政建设方法路径。</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291" w:name="_Hlk84790267"/>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制定体现“课程思政”改革思路的课程教学大纲、教案等教学文件。</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课程准确把握“坚定学生理想信念，教育学生爱党、爱国、爱社会主义、爱人民、爱集体”主线，结合所在学科专业、所属课程类型的育人要求和特点，深入挖掘蕴含的思政教育资源，优化课程思政内容供给。</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课程注重体现学校办学定位和专业特色，注重价值塑造、知识传授与能力培养相统一，科学设计课程目标和教案课件，将思政教育有机融入课程教学，达到润物无声的育人效果。</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课程注重课程思政建设模式创新，教学内容体现思想性、前沿性与时代性，教学方法体现先进性、互动性与针对性，形成可供同类课程借鉴共享的经验、成果和模式。</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课程教学团队人员结构合理，集体教研制度完善且有效实施，经常性开展课程思政建设教学研究和交流，课程思政建设整体水平高。</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w:t>
      </w:r>
      <w:r>
        <w:rPr>
          <w:rFonts w:hint="eastAsia" w:ascii="仿宋" w:hAnsi="仿宋" w:eastAsia="仿宋"/>
          <w:color w:val="000000" w:themeColor="text1"/>
          <w:kern w:val="0"/>
          <w:szCs w:val="36"/>
          <w14:textFill>
            <w14:solidFill>
              <w14:schemeClr w14:val="tx1"/>
            </w14:solidFill>
          </w14:textFill>
        </w:rPr>
        <w:t>课程考核方式和评价办法完善，育人效果显著，学生评教结果优秀，校内外同行专家评价良好，形成较高水平的课程思政展示成果，具有良好的示范辐射作用。</w:t>
      </w:r>
    </w:p>
    <w:bookmarkEnd w:id="291"/>
    <w:p>
      <w:pPr>
        <w:widowControl/>
        <w:adjustRightInd w:val="0"/>
        <w:spacing w:line="560" w:lineRule="exact"/>
        <w:ind w:firstLine="643" w:firstLineChars="200"/>
        <w:outlineLvl w:val="3"/>
        <w:rPr>
          <w:rFonts w:ascii="仿宋" w:hAnsi="仿宋" w:eastAsia="仿宋"/>
          <w:color w:val="000000" w:themeColor="text1"/>
          <w:kern w:val="0"/>
          <w:szCs w:val="36"/>
          <w14:textFill>
            <w14:solidFill>
              <w14:schemeClr w14:val="tx1"/>
            </w14:solidFill>
          </w14:textFill>
        </w:rPr>
      </w:pPr>
      <w:r>
        <w:rPr>
          <w:rFonts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课程已纳入人才培养方案或专业考试计划，实施学分管理，并至少经过两个学期或两个教学周期的建设和完善。</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项目实行“双负责人制”，高校基层教师党支部书记是项目负责人，主讲教师是课程负责人。课程授课教师政治立场坚定，师德师风良好。课程负责人具有高级职称，能够准确把握本课程开展课程思政建设的方向和重点，并融入课程教学全过程。</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3.“双一流”建设高校原则上择优推荐不超过15项，地方特色高水平大学原则上择优推荐不超过12项，地方应用型高水平大学原则上择优推荐不超过10项，其他本科高校原则上择优推荐不超过8项；</w:t>
      </w:r>
      <w:r>
        <w:rPr>
          <w:rFonts w:hint="eastAsia" w:ascii="仿宋" w:hAnsi="仿宋" w:eastAsia="仿宋"/>
          <w:color w:val="000000" w:themeColor="text1"/>
          <w:kern w:val="0"/>
          <w:szCs w:val="36"/>
          <w14:textFill>
            <w14:solidFill>
              <w14:schemeClr w14:val="tx1"/>
            </w14:solidFill>
          </w14:textFill>
        </w:rPr>
        <w:t>教育厅将组织专家进行严格评审，择优立项。</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四、验收标准</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形成一套课程思政的教学文件。每门课程应完成</w:t>
      </w:r>
      <w:bookmarkStart w:id="292" w:name="_Hlk84790562"/>
      <w:r>
        <w:rPr>
          <w:rFonts w:hint="eastAsia" w:ascii="仿宋" w:hAnsi="仿宋" w:eastAsia="仿宋"/>
          <w:color w:val="000000" w:themeColor="text1"/>
          <w:kern w:val="0"/>
          <w:szCs w:val="36"/>
          <w14:textFill>
            <w14:solidFill>
              <w14:schemeClr w14:val="tx1"/>
            </w14:solidFill>
          </w14:textFill>
        </w:rPr>
        <w:t>体现“课程思政”改革思路的课程教学大纲、教案等教学文件</w:t>
      </w:r>
      <w:bookmarkEnd w:id="292"/>
      <w:r>
        <w:rPr>
          <w:rFonts w:hint="eastAsia" w:ascii="仿宋" w:hAnsi="仿宋" w:eastAsia="仿宋"/>
          <w:color w:val="000000" w:themeColor="text1"/>
          <w:kern w:val="0"/>
          <w:szCs w:val="36"/>
          <w14:textFill>
            <w14:solidFill>
              <w14:schemeClr w14:val="tx1"/>
            </w14:solidFill>
          </w14:textFill>
        </w:rPr>
        <w:t>。</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完成一组课程思政教学素材库。每门课程应对项目建设过程中的优秀案例、言传身教的有效做法、课外关心关爱学生的活动、课程的有效设计与实施成果进行总结凝练，形成素材库，供全校教师学习借鉴。完成</w:t>
      </w:r>
      <w:r>
        <w:rPr>
          <w:rFonts w:ascii="仿宋" w:hAnsi="仿宋" w:eastAsia="仿宋"/>
          <w:color w:val="000000" w:themeColor="text1"/>
          <w:kern w:val="0"/>
          <w:szCs w:val="36"/>
          <w14:textFill>
            <w14:solidFill>
              <w14:schemeClr w14:val="tx1"/>
            </w14:solidFill>
          </w14:textFill>
        </w:rPr>
        <w:t>1节“示范教学视频”（主讲教师原则上为课程负责人）及教学设计详案，开展3节“公开课”教学展示。</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完成课程思政育人教学效果评价。对标《高等学校课程思政建设指导纲要》、国家一流课程建设标准，每门课程应根据课程性质、授课内容和教学过程等，完成本门课程思政育人的教学效果评价。</w:t>
      </w:r>
    </w:p>
    <w:p>
      <w:pPr>
        <w:pStyle w:val="4"/>
        <w:spacing w:before="435" w:beforeLines="100" w:after="0" w:line="560" w:lineRule="exact"/>
        <w:ind w:firstLine="723" w:firstLineChars="200"/>
        <w:rPr>
          <w:rFonts w:ascii="仿宋" w:hAnsi="仿宋" w:eastAsia="仿宋"/>
          <w:sz w:val="36"/>
          <w:szCs w:val="36"/>
        </w:rPr>
      </w:pPr>
      <w:bookmarkStart w:id="293" w:name="_Toc86068911"/>
      <w:bookmarkStart w:id="294" w:name="_Toc84708569"/>
      <w:r>
        <w:rPr>
          <w:rFonts w:ascii="仿宋" w:hAnsi="仿宋" w:eastAsia="仿宋"/>
          <w:sz w:val="36"/>
          <w:szCs w:val="36"/>
        </w:rPr>
        <w:t>7-3</w:t>
      </w:r>
      <w:r>
        <w:rPr>
          <w:rFonts w:hint="eastAsia" w:ascii="仿宋" w:hAnsi="仿宋" w:eastAsia="仿宋"/>
          <w:sz w:val="36"/>
          <w:szCs w:val="36"/>
        </w:rPr>
        <w:t>课程</w:t>
      </w:r>
      <w:bookmarkStart w:id="295" w:name="_Hlk84792957"/>
      <w:r>
        <w:rPr>
          <w:rFonts w:hint="eastAsia" w:ascii="仿宋" w:hAnsi="仿宋" w:eastAsia="仿宋"/>
          <w:sz w:val="36"/>
          <w:szCs w:val="36"/>
        </w:rPr>
        <w:t>思政教学</w:t>
      </w:r>
      <w:bookmarkEnd w:id="295"/>
      <w:r>
        <w:rPr>
          <w:rFonts w:hint="eastAsia" w:ascii="仿宋" w:hAnsi="仿宋" w:eastAsia="仿宋"/>
          <w:sz w:val="36"/>
          <w:szCs w:val="36"/>
        </w:rPr>
        <w:t>资源库</w:t>
      </w:r>
      <w:bookmarkEnd w:id="293"/>
      <w:bookmarkEnd w:id="294"/>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bookmarkStart w:id="296" w:name="_Hlk84793344"/>
      <w:r>
        <w:rPr>
          <w:rFonts w:hint="eastAsia" w:ascii="仿宋" w:hAnsi="仿宋" w:eastAsia="仿宋"/>
          <w:color w:val="000000" w:themeColor="text1"/>
          <w:kern w:val="0"/>
          <w:szCs w:val="36"/>
          <w14:textFill>
            <w14:solidFill>
              <w14:schemeClr w14:val="tx1"/>
            </w14:solidFill>
          </w14:textFill>
        </w:rPr>
        <w:t>课程思政教学</w:t>
      </w:r>
      <w:bookmarkEnd w:id="296"/>
      <w:r>
        <w:rPr>
          <w:rFonts w:hint="eastAsia" w:ascii="仿宋" w:hAnsi="仿宋" w:eastAsia="仿宋"/>
          <w:color w:val="000000" w:themeColor="text1"/>
          <w:kern w:val="0"/>
          <w:szCs w:val="36"/>
          <w14:textFill>
            <w14:solidFill>
              <w14:schemeClr w14:val="tx1"/>
            </w14:solidFill>
          </w14:textFill>
        </w:rPr>
        <w:t>资源库是为教师更好地设计和实施课程思政提供资源支持的材料存放场所，通过多所高校合力建设适合教师使用的、能被教师使用的、教师乐于使用的课程思政教学资源库；健全各类学科相关课程思政教学资源库，建立共建共享平台。</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bookmarkStart w:id="297" w:name="_Hlk84792374"/>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资源库主持单位牵头制定我省课程思政资源库相关规范和制度，在资源库内建立健全资源认证标准，用于资源的建设、聚集、应用和推广</w:t>
      </w:r>
      <w:bookmarkEnd w:id="297"/>
      <w:r>
        <w:rPr>
          <w:rFonts w:hint="eastAsia" w:ascii="仿宋" w:hAnsi="仿宋" w:eastAsia="仿宋"/>
          <w:color w:val="000000" w:themeColor="text1"/>
          <w:kern w:val="0"/>
          <w:szCs w:val="36"/>
          <w14:textFill>
            <w14:solidFill>
              <w14:schemeClr w14:val="tx1"/>
            </w14:solidFill>
          </w14:textFill>
        </w:rPr>
        <w:t>。</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kern w:val="0"/>
          <w:szCs w:val="36"/>
        </w:rPr>
        <w:t>资源库的建设为校内校间资料的共享和经验的共享搭建</w:t>
      </w:r>
      <w:r>
        <w:rPr>
          <w:rFonts w:hint="eastAsia" w:ascii="仿宋" w:hAnsi="仿宋" w:eastAsia="仿宋"/>
          <w:color w:val="000000" w:themeColor="text1"/>
          <w:kern w:val="0"/>
          <w:szCs w:val="36"/>
          <w14:textFill>
            <w14:solidFill>
              <w14:schemeClr w14:val="tx1"/>
            </w14:solidFill>
          </w14:textFill>
        </w:rPr>
        <w:t>平台。开创平行、互补、合作的活动方式，开阔教师在资源收集与制作的思路，提升资源建设质量。</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资源库的学科门类分布科学合理，资源库的规划和管理合适，定期总结资源库建设经验，部署下一步的工作，确保资源库建设稳步有序发展，经常性地组织教师开展形式多样的学习和研讨活动，保证资源库动态运行。</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本项目由一所</w:t>
      </w:r>
      <w:bookmarkStart w:id="298" w:name="_Hlk84792687"/>
      <w:r>
        <w:rPr>
          <w:rFonts w:hint="eastAsia" w:ascii="仿宋" w:hAnsi="仿宋" w:eastAsia="仿宋"/>
          <w:color w:val="000000" w:themeColor="text1"/>
          <w:kern w:val="0"/>
          <w:szCs w:val="36"/>
          <w14:textFill>
            <w14:solidFill>
              <w14:schemeClr w14:val="tx1"/>
            </w14:solidFill>
          </w14:textFill>
        </w:rPr>
        <w:t>高校牵头</w:t>
      </w:r>
      <w:bookmarkEnd w:id="298"/>
      <w:r>
        <w:rPr>
          <w:rFonts w:hint="eastAsia" w:ascii="仿宋" w:hAnsi="仿宋" w:eastAsia="仿宋"/>
          <w:color w:val="000000" w:themeColor="text1"/>
          <w:kern w:val="0"/>
          <w:szCs w:val="36"/>
          <w14:textFill>
            <w14:solidFill>
              <w14:schemeClr w14:val="tx1"/>
            </w14:solidFill>
          </w14:textFill>
        </w:rPr>
        <w:t>主持，多所高校共同参与。设立</w:t>
      </w:r>
      <w:r>
        <w:rPr>
          <w:rFonts w:ascii="仿宋" w:hAnsi="仿宋" w:eastAsia="仿宋"/>
          <w:color w:val="000000" w:themeColor="text1"/>
          <w:kern w:val="0"/>
          <w:szCs w:val="36"/>
          <w14:textFill>
            <w14:solidFill>
              <w14:schemeClr w14:val="tx1"/>
            </w14:solidFill>
          </w14:textFill>
        </w:rPr>
        <w:t>1项。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项目负责人政治立场坚定，师德师风良好，对课程思政建设有深刻理解，具有丰富的课程思政建设实践经验和理论研究成果，为省级教学名师、国家一流课程负责人。团队人员配备科学合理，具有相应的课程思政建设实践经验和理论研究基础。</w:t>
      </w:r>
    </w:p>
    <w:p>
      <w:pPr>
        <w:pStyle w:val="3"/>
        <w:spacing w:after="0" w:line="560" w:lineRule="exact"/>
        <w:ind w:firstLine="723" w:firstLineChars="200"/>
        <w:rPr>
          <w:rFonts w:ascii="仿宋" w:hAnsi="仿宋" w:eastAsia="仿宋"/>
          <w:color w:val="000000" w:themeColor="text1"/>
          <w:kern w:val="0"/>
          <w:sz w:val="36"/>
          <w:szCs w:val="36"/>
          <w14:textFill>
            <w14:solidFill>
              <w14:schemeClr w14:val="tx1"/>
            </w14:solidFill>
          </w14:textFill>
        </w:rPr>
      </w:pPr>
      <w:bookmarkStart w:id="299" w:name="_Toc86068912"/>
      <w:bookmarkStart w:id="300" w:name="_Toc84708570"/>
      <w:bookmarkStart w:id="301" w:name="_Hlk84796180"/>
      <w:r>
        <w:rPr>
          <w:rFonts w:ascii="仿宋" w:hAnsi="仿宋" w:eastAsia="仿宋"/>
          <w:color w:val="000000" w:themeColor="text1"/>
          <w:kern w:val="0"/>
          <w:sz w:val="36"/>
          <w:szCs w:val="36"/>
          <w14:textFill>
            <w14:solidFill>
              <w14:schemeClr w14:val="tx1"/>
            </w14:solidFill>
          </w14:textFill>
        </w:rPr>
        <w:t>8.教学成果奖</w:t>
      </w:r>
      <w:bookmarkEnd w:id="299"/>
      <w:bookmarkEnd w:id="300"/>
    </w:p>
    <w:p>
      <w:pPr>
        <w:pStyle w:val="4"/>
        <w:spacing w:before="435" w:beforeLines="100" w:after="0" w:line="560" w:lineRule="exact"/>
        <w:ind w:firstLine="723" w:firstLineChars="200"/>
        <w:rPr>
          <w:rFonts w:ascii="仿宋" w:hAnsi="仿宋" w:eastAsia="仿宋"/>
          <w:sz w:val="36"/>
          <w:szCs w:val="36"/>
        </w:rPr>
      </w:pPr>
      <w:bookmarkStart w:id="302" w:name="_Toc84708571"/>
      <w:bookmarkStart w:id="303" w:name="_Toc86068913"/>
      <w:r>
        <w:rPr>
          <w:rFonts w:ascii="仿宋" w:hAnsi="仿宋" w:eastAsia="仿宋"/>
          <w:sz w:val="36"/>
          <w:szCs w:val="36"/>
        </w:rPr>
        <w:t>8-1</w:t>
      </w:r>
      <w:r>
        <w:rPr>
          <w:rFonts w:hint="eastAsia" w:ascii="仿宋" w:hAnsi="仿宋" w:eastAsia="仿宋"/>
          <w:sz w:val="36"/>
          <w:szCs w:val="36"/>
        </w:rPr>
        <w:t>本科教育教学成果奖</w:t>
      </w:r>
      <w:bookmarkEnd w:id="302"/>
      <w:bookmarkEnd w:id="303"/>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一、评选范围</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教学成果奖授予在</w:t>
      </w:r>
      <w:bookmarkEnd w:id="301"/>
      <w:r>
        <w:rPr>
          <w:rFonts w:hint="eastAsia" w:ascii="仿宋" w:hAnsi="仿宋" w:eastAsia="仿宋"/>
          <w:color w:val="000000" w:themeColor="text1"/>
          <w:kern w:val="0"/>
          <w:szCs w:val="36"/>
          <w14:textFill>
            <w14:solidFill>
              <w14:schemeClr w14:val="tx1"/>
            </w14:solidFill>
          </w14:textFill>
        </w:rPr>
        <w:t>高等教育教学工作中做出突出贡献，取得显著成果的集体和个人。教学成果主要包括：在转变教育思想和教育观念，调整专业结构，改革人才培养模式、课程体系、教学内容及其相关的教材，改进教学方法和教育技术，全面推进素质教育，促进学生德智体美劳全面发展，提高教育质量等方面的成果；在组织教学工作、推动教学及教学管理改革，加强教学基本建设，开展教学质量与教学改革工程建设，建立自我约束、自我发展的机制，实现教学管理现代化等方面的成果。</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二、评选要求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省级教学成果奖每</w:t>
      </w:r>
      <w:r>
        <w:rPr>
          <w:rFonts w:ascii="仿宋" w:hAnsi="仿宋" w:eastAsia="仿宋"/>
          <w:color w:val="000000" w:themeColor="text1"/>
          <w:kern w:val="0"/>
          <w:szCs w:val="36"/>
          <w14:textFill>
            <w14:solidFill>
              <w14:schemeClr w14:val="tx1"/>
            </w14:solidFill>
          </w14:textFill>
        </w:rPr>
        <w:t>2年评选一次，本科教育评选表彰省级教学成果奖200项左右，设特等奖、一等奖、二等奖、三等奖四个等级。本科思想政治教育教学成果奖申报和评审单列30项左右。</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特等奖教学成果应当在教育教学理论上有重大创新，在教育教学改革实践中取得特别重大突破，对提高教学水平和教育质量、实现培养目标有突出贡献，在省内处于领先水平，产生重大影响。　</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一等奖教学成果应当在教育教学理论上有创新，对教育教学改革实践有重大示范作用，对提高教学水平和教育质量、实现培养目标产生重大成效，在省内产生较大影响。　</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二等奖教学成果应当在教育教学理论或者实践的某一方面有重大突破，对提高教学水平和教育质量、实现培养目标产生显著成效。　</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高校应在申报成果奖项目时注明申报等级并排序，每校申报的特等奖不超过一项。根据各校申报的教学成果的质量，省教育厅组织专家进行评审，从中遴选部分成果授奖，对在所申报等级落选的教学成果，参加下一等级评审。在未入选特等、一等、二等奖的申报教学成果中，按照高校排序和成果奖拟授奖限额确定省级教学成果奖三等奖名单。</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为鼓励先进，获上</w:t>
      </w:r>
      <w:r>
        <w:rPr>
          <w:rFonts w:ascii="仿宋" w:hAnsi="仿宋" w:eastAsia="仿宋"/>
          <w:color w:val="000000" w:themeColor="text1"/>
          <w:kern w:val="0"/>
          <w:szCs w:val="36"/>
          <w14:textFill>
            <w14:solidFill>
              <w14:schemeClr w14:val="tx1"/>
            </w14:solidFill>
          </w14:textFill>
        </w:rPr>
        <w:t>一届国家级教学成果奖、</w:t>
      </w:r>
      <w:r>
        <w:rPr>
          <w:rFonts w:hint="eastAsia" w:ascii="仿宋" w:hAnsi="仿宋" w:eastAsia="仿宋"/>
          <w:color w:val="000000" w:themeColor="text1"/>
          <w:kern w:val="0"/>
          <w:szCs w:val="36"/>
          <w14:textFill>
            <w14:solidFill>
              <w14:schemeClr w14:val="tx1"/>
            </w14:solidFill>
          </w14:textFill>
        </w:rPr>
        <w:t>首批国家级一流本科课程的高校，可相应增加本</w:t>
      </w:r>
      <w:r>
        <w:rPr>
          <w:rFonts w:ascii="仿宋" w:hAnsi="仿宋" w:eastAsia="仿宋"/>
          <w:color w:val="000000" w:themeColor="text1"/>
          <w:kern w:val="0"/>
          <w:szCs w:val="36"/>
          <w14:textFill>
            <w14:solidFill>
              <w14:schemeClr w14:val="tx1"/>
            </w14:solidFill>
          </w14:textFill>
        </w:rPr>
        <w:t>年度</w:t>
      </w:r>
      <w:r>
        <w:rPr>
          <w:rFonts w:hint="eastAsia" w:ascii="仿宋" w:hAnsi="仿宋" w:eastAsia="仿宋"/>
          <w:color w:val="000000" w:themeColor="text1"/>
          <w:kern w:val="0"/>
          <w:szCs w:val="36"/>
          <w14:textFill>
            <w14:solidFill>
              <w14:schemeClr w14:val="tx1"/>
            </w14:solidFill>
          </w14:textFill>
        </w:rPr>
        <w:t>省级教学成果一等奖限额。</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各高校要认真梳理、总结近年来</w:t>
      </w:r>
      <w:r>
        <w:rPr>
          <w:rFonts w:hint="eastAsia" w:ascii="仿宋" w:hAnsi="仿宋" w:eastAsia="仿宋"/>
          <w:color w:val="000000" w:themeColor="text1"/>
          <w:kern w:val="0"/>
          <w:szCs w:val="36"/>
          <w14:textFill>
            <w14:solidFill>
              <w14:schemeClr w14:val="tx1"/>
            </w14:solidFill>
          </w14:textFill>
        </w:rPr>
        <w:t>国家级、省级</w:t>
      </w:r>
      <w:r>
        <w:rPr>
          <w:rFonts w:ascii="仿宋" w:hAnsi="仿宋" w:eastAsia="仿宋"/>
          <w:color w:val="000000" w:themeColor="text1"/>
          <w:kern w:val="0"/>
          <w:szCs w:val="36"/>
          <w14:textFill>
            <w14:solidFill>
              <w14:schemeClr w14:val="tx1"/>
            </w14:solidFill>
          </w14:textFill>
        </w:rPr>
        <w:t>教学成果奖申报的经验，精心培育、总结本校教育教学改革成果，积极组织申报。</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申报省级教学成果奖励，原则上应从校级教学成果奖中择优推荐；已获得国家级和省级教学成果奖励的，不予重复申报。</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成果必须符合国家教育方针、政策，体现时代精神，经过不少于</w:t>
      </w:r>
      <w:r>
        <w:rPr>
          <w:rFonts w:ascii="仿宋" w:hAnsi="仿宋" w:eastAsia="仿宋"/>
          <w:color w:val="000000" w:themeColor="text1"/>
          <w:kern w:val="0"/>
          <w:szCs w:val="36"/>
          <w14:textFill>
            <w14:solidFill>
              <w14:schemeClr w14:val="tx1"/>
            </w14:solidFill>
          </w14:textFill>
        </w:rPr>
        <w:t>2年的教育教学实践检验。</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为保证成果主要完成人信息正确无误，请学校、申报人仔细核对，保证汇总表、申报书封面与申报书中的主要完成人的人数、人名信息完全一致。三者信息如不一致，视为形式审查不合格，不予受理。</w:t>
      </w:r>
    </w:p>
    <w:p>
      <w:pPr>
        <w:pStyle w:val="4"/>
        <w:spacing w:before="435" w:beforeLines="100" w:after="0" w:line="560" w:lineRule="exact"/>
        <w:ind w:firstLine="723" w:firstLineChars="200"/>
        <w:rPr>
          <w:rFonts w:ascii="仿宋" w:hAnsi="仿宋" w:eastAsia="仿宋"/>
          <w:sz w:val="36"/>
          <w:szCs w:val="36"/>
        </w:rPr>
      </w:pPr>
      <w:bookmarkStart w:id="304" w:name="_Toc86068914"/>
      <w:bookmarkStart w:id="305" w:name="_Toc84708572"/>
      <w:r>
        <w:rPr>
          <w:rFonts w:ascii="仿宋" w:hAnsi="仿宋" w:eastAsia="仿宋"/>
          <w:sz w:val="36"/>
          <w:szCs w:val="36"/>
        </w:rPr>
        <w:t>8-2</w:t>
      </w:r>
      <w:r>
        <w:rPr>
          <w:rFonts w:hint="eastAsia" w:ascii="仿宋" w:hAnsi="仿宋" w:eastAsia="仿宋"/>
          <w:sz w:val="36"/>
          <w:szCs w:val="36"/>
        </w:rPr>
        <w:t>研究生教育教学成果奖</w:t>
      </w:r>
      <w:bookmarkEnd w:id="304"/>
      <w:bookmarkEnd w:id="305"/>
    </w:p>
    <w:p>
      <w:pPr>
        <w:widowControl/>
        <w:adjustRightInd w:val="0"/>
        <w:spacing w:line="560" w:lineRule="exact"/>
        <w:ind w:firstLine="640" w:firstLineChars="200"/>
        <w:outlineLvl w:val="3"/>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一、奖励内容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研究生教育教学成果授予在围绕加强研究生创新意识和创新能力、创业精神和实践能力以及社会责任等方面的培养，提高研究生教育与学位授予质量，包括反映研究生教育规律、教育制度、教育评价方法、教育管理运行机制，在学科建设、培养目标、课程设置、教材教案、培养内容和培养方法、科研训练、社会实践、导师指导、学位论文标准、研究生培养方案与模式改革等方面的创新研究与实践，具有独创性、新颖性和实用性，对提高研究生教育水平和教育质量、实现培养目标产生明显效果，并具有推广价值的教育教学成果。</w:t>
      </w:r>
    </w:p>
    <w:p>
      <w:pPr>
        <w:widowControl/>
        <w:adjustRightInd w:val="0"/>
        <w:spacing w:line="560" w:lineRule="exact"/>
        <w:ind w:firstLine="640" w:firstLineChars="200"/>
        <w:outlineLvl w:val="3"/>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二、奖励等次和数量</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教学成果奖每</w:t>
      </w:r>
      <w:r>
        <w:rPr>
          <w:rFonts w:ascii="仿宋" w:hAnsi="仿宋" w:eastAsia="仿宋"/>
          <w:color w:val="000000" w:themeColor="text1"/>
          <w:kern w:val="0"/>
          <w:szCs w:val="36"/>
          <w14:textFill>
            <w14:solidFill>
              <w14:schemeClr w14:val="tx1"/>
            </w14:solidFill>
          </w14:textFill>
        </w:rPr>
        <w:t>2年评选一次，本次在研究生教育评选表彰省级教学成果奖50项左右，设特等奖、一等奖、二等奖三个等级。研究生思想政治教育教学成果奖申报和评审单列10项左右。</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特等奖成果应当在研究生教育理论研究和教育教学实践上有重大创新，在教育改革实践中取得特别重大突破，对提高教育质量、实现培养目标有突出贡献，在国内处于领先水平，在全国产生重大影响。</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一等奖成果应当在研究生教育理论研究或研究生教育教学实践上有创新，对教育改革实践有重大示范作用，对提高教育质量、实现培养目标产生重大成效，在全国或省内产生较大影响。</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二等奖成果应当在研究生教育理论研究或研究生教育实践的某一方面有重大突破，对提高教育质量、实现培养目标产生显著成效。</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高校应在申报成果奖项目时注明申报等级并排序，每校申报的特等奖不超过一项。根据各校申报教学成果的质量，省教育厅组织专家进行评审，从中遴选部分成果授奖，对在所申报等级落选的教学成果，参加下一等级评审。在未入选特等、一等、二等奖的申报教学成果中，按照高校排序和成果奖拟授奖限额确定省级教学成果奖三等奖名单。</w:t>
      </w:r>
    </w:p>
    <w:p>
      <w:pPr>
        <w:widowControl/>
        <w:adjustRightInd w:val="0"/>
        <w:spacing w:line="560" w:lineRule="exact"/>
        <w:ind w:firstLine="640" w:firstLineChars="200"/>
        <w:outlineLvl w:val="3"/>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三、申请条件</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1.申请学校范围：全省研究生教育培养高校。</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2.申请条件：</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1）申请省级教学成果奖励，应从校级教学成果奖中择优推荐。</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2）已获得国家级和省级教学成果奖励的，不予重复申报。</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w:t>
      </w:r>
      <w:r>
        <w:rPr>
          <w:rFonts w:ascii="仿宋" w:hAnsi="仿宋" w:eastAsia="仿宋"/>
          <w:color w:val="000000" w:themeColor="text1"/>
          <w:kern w:val="0"/>
          <w:szCs w:val="36"/>
          <w14:textFill>
            <w14:solidFill>
              <w14:schemeClr w14:val="tx1"/>
            </w14:solidFill>
          </w14:textFill>
        </w:rPr>
        <w:t>3）成果必须符合国家教育方针、政策，体现时代精神，符合研究生教育规律，对于培养高层次、高素质、创新型人才具有重要意义;示范性强，具有广泛的推广意义;经过不少于2年的教育教学实践检验。</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各高校要认真梳理、总结近年来国家教学成果奖申报的经验，精心培育、总结本校教育教学改革成果，积极组织申报。</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为保证成果主要完成人信息正确无误，请学校、申报人仔细核对，保证汇总表、申报书封面与申报书中的主要完成人的人数、人名信息完全一致。三者信息如不一致，视为形式审查不合格，不予受理。</w:t>
      </w:r>
    </w:p>
    <w:p>
      <w:pPr>
        <w:widowControl/>
        <w:adjustRightInd w:val="0"/>
        <w:spacing w:before="240" w:line="560" w:lineRule="exact"/>
        <w:ind w:firstLine="640" w:firstLineChars="200"/>
        <w:outlineLvl w:val="1"/>
        <w:rPr>
          <w:rFonts w:ascii="仿宋" w:hAnsi="仿宋" w:eastAsia="仿宋" w:cs="黑体"/>
          <w:b/>
          <w:color w:val="000000" w:themeColor="text1"/>
          <w:kern w:val="0"/>
          <w:sz w:val="36"/>
          <w:szCs w:val="36"/>
          <w14:textFill>
            <w14:solidFill>
              <w14:schemeClr w14:val="tx1"/>
            </w14:solidFill>
          </w14:textFill>
        </w:rPr>
      </w:pPr>
      <w:r>
        <w:rPr>
          <w:rFonts w:ascii="仿宋" w:hAnsi="仿宋" w:eastAsia="仿宋" w:cs="方正仿宋_GBK"/>
          <w:color w:val="000000" w:themeColor="text1"/>
          <w:kern w:val="0"/>
          <w:szCs w:val="36"/>
          <w14:textFill>
            <w14:solidFill>
              <w14:schemeClr w14:val="tx1"/>
            </w14:solidFill>
          </w14:textFill>
        </w:rPr>
        <w:t xml:space="preserve"> </w:t>
      </w:r>
      <w:bookmarkStart w:id="306" w:name="_Toc86068915"/>
      <w:r>
        <w:rPr>
          <w:rFonts w:ascii="仿宋" w:hAnsi="仿宋" w:eastAsia="仿宋" w:cs="黑体"/>
          <w:b/>
          <w:color w:val="000000" w:themeColor="text1"/>
          <w:kern w:val="0"/>
          <w:sz w:val="36"/>
          <w:szCs w:val="36"/>
          <w14:textFill>
            <w14:solidFill>
              <w14:schemeClr w14:val="tx1"/>
            </w14:solidFill>
          </w14:textFill>
        </w:rPr>
        <w:t>9.产业学院</w:t>
      </w:r>
      <w:bookmarkEnd w:id="306"/>
    </w:p>
    <w:p>
      <w:pPr>
        <w:snapToGrid w:val="0"/>
        <w:spacing w:line="560" w:lineRule="exact"/>
        <w:ind w:firstLine="640" w:firstLineChars="200"/>
        <w:rPr>
          <w:rFonts w:ascii="仿宋" w:hAnsi="仿宋" w:eastAsia="仿宋"/>
          <w:b/>
        </w:rPr>
      </w:pPr>
      <w:bookmarkStart w:id="307" w:name="_Hlk84843893"/>
      <w:r>
        <w:rPr>
          <w:rFonts w:hint="eastAsia" w:ascii="仿宋" w:hAnsi="仿宋" w:eastAsia="仿宋"/>
        </w:rPr>
        <w:t>产业</w:t>
      </w:r>
      <w:r>
        <w:rPr>
          <w:rFonts w:ascii="仿宋" w:hAnsi="仿宋" w:eastAsia="仿宋"/>
        </w:rPr>
        <w:t>学院项目各高校每</w:t>
      </w:r>
      <w:r>
        <w:rPr>
          <w:rFonts w:hint="eastAsia" w:ascii="仿宋" w:hAnsi="仿宋" w:eastAsia="仿宋"/>
        </w:rPr>
        <w:t>类限报</w:t>
      </w:r>
      <w:r>
        <w:rPr>
          <w:rFonts w:ascii="仿宋" w:hAnsi="仿宋" w:eastAsia="仿宋"/>
        </w:rPr>
        <w:t>1</w:t>
      </w:r>
      <w:r>
        <w:rPr>
          <w:rFonts w:hint="eastAsia" w:ascii="仿宋" w:hAnsi="仿宋" w:eastAsia="仿宋"/>
        </w:rPr>
        <w:t>项，教育厅将组织专家进行严格评审，择优立项。</w:t>
      </w:r>
    </w:p>
    <w:bookmarkEnd w:id="307"/>
    <w:p>
      <w:pPr>
        <w:pStyle w:val="4"/>
        <w:spacing w:before="435" w:beforeLines="100" w:after="0" w:line="560" w:lineRule="exact"/>
        <w:ind w:firstLine="723" w:firstLineChars="200"/>
        <w:rPr>
          <w:rFonts w:ascii="仿宋" w:hAnsi="仿宋" w:eastAsia="仿宋"/>
          <w:sz w:val="36"/>
          <w:szCs w:val="36"/>
        </w:rPr>
      </w:pPr>
      <w:bookmarkStart w:id="308" w:name="_Toc86068916"/>
      <w:bookmarkStart w:id="309" w:name="_Hlk84799183"/>
      <w:r>
        <w:rPr>
          <w:rFonts w:ascii="仿宋" w:hAnsi="仿宋" w:eastAsia="仿宋"/>
          <w:sz w:val="36"/>
          <w:szCs w:val="36"/>
        </w:rPr>
        <w:t>9-1</w:t>
      </w:r>
      <w:r>
        <w:rPr>
          <w:rFonts w:hint="eastAsia" w:ascii="仿宋" w:hAnsi="仿宋" w:eastAsia="仿宋"/>
          <w:sz w:val="36"/>
          <w:szCs w:val="36"/>
        </w:rPr>
        <w:t>现代产业学院</w:t>
      </w:r>
      <w:bookmarkEnd w:id="308"/>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50"/>
        <w:rPr>
          <w:rFonts w:ascii="仿宋" w:hAnsi="仿宋" w:eastAsia="仿宋"/>
          <w:color w:val="000000" w:themeColor="text1"/>
          <w:kern w:val="0"/>
          <w:szCs w:val="36"/>
          <w14:textFill>
            <w14:solidFill>
              <w14:schemeClr w14:val="tx1"/>
            </w14:solidFill>
          </w14:textFill>
        </w:rPr>
      </w:pPr>
      <w:bookmarkStart w:id="310" w:name="_Hlk84800368"/>
      <w:r>
        <w:rPr>
          <w:rFonts w:hint="eastAsia" w:ascii="仿宋" w:hAnsi="仿宋" w:eastAsia="仿宋"/>
          <w:color w:val="000000" w:themeColor="text1"/>
          <w:kern w:val="0"/>
          <w:szCs w:val="36"/>
          <w14:textFill>
            <w14:solidFill>
              <w14:schemeClr w14:val="tx1"/>
            </w14:solidFill>
          </w14:textFill>
        </w:rPr>
        <w:t>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链有效衔接机制，建立新型信息、人才、技术与物质资源共享机制，完善产教融合协同育人机制，创新企业兼职教师评聘机制，构建高等教育与产业集群联动发展机制，打造一批融人才培养、科学研究、技术创新、企业服务、学生创业等功能于一体的示范性人才培养实体，为应用型高校建设提供可复制、可推广的新模式。</w:t>
      </w:r>
    </w:p>
    <w:bookmarkEnd w:id="310"/>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创新人才培养</w:t>
      </w:r>
      <w:bookmarkEnd w:id="309"/>
      <w:r>
        <w:rPr>
          <w:rFonts w:hint="eastAsia" w:ascii="仿宋" w:hAnsi="仿宋" w:eastAsia="仿宋"/>
          <w:color w:val="000000" w:themeColor="text1"/>
          <w:kern w:val="0"/>
          <w:szCs w:val="36"/>
          <w14:textFill>
            <w14:solidFill>
              <w14:schemeClr w14:val="tx1"/>
            </w14:solidFill>
          </w14:textFill>
        </w:rPr>
        <w:t>模式。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凝练产教深度融合、多方协同育人的应用型人才培养模式。</w:t>
      </w:r>
    </w:p>
    <w:p>
      <w:pPr>
        <w:widowControl/>
        <w:adjustRightInd w:val="0"/>
        <w:spacing w:line="560" w:lineRule="exact"/>
        <w:ind w:firstLine="6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提升专业建设质量。围绕国家和我省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pPr>
        <w:widowControl/>
        <w:adjustRightInd w:val="0"/>
        <w:spacing w:line="560" w:lineRule="exact"/>
        <w:ind w:firstLine="6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开发校企合作课程。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pPr>
        <w:widowControl/>
        <w:adjustRightInd w:val="0"/>
        <w:spacing w:line="560" w:lineRule="exact"/>
        <w:ind w:firstLine="6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打造实习实训基地。基于行业企业的产品、技术和生产流程，创新多主体间的合作模式，构建基于产业发展和创新需求的实践教学和实训实习环境。统筹各类实践教学资源，充分利用科技产业园、行业龙头企业等优质资源，构建功能集约、开放共享、高效运行的专业类或跨专业类实践教学平台。通过引进企业研发平台、生产基地，建设一批兼具生产、教学、研发、创新创业功能的校企一体、产学研用协同的大型实验、实训实习基地。</w:t>
      </w:r>
    </w:p>
    <w:p>
      <w:pPr>
        <w:widowControl/>
        <w:adjustRightInd w:val="0"/>
        <w:spacing w:line="560" w:lineRule="exact"/>
        <w:ind w:firstLine="6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建设高水平教师队伍。依托现代产业学院，探索校企人才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pPr>
        <w:widowControl/>
        <w:adjustRightInd w:val="0"/>
        <w:spacing w:line="560" w:lineRule="exact"/>
        <w:ind w:firstLine="6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w:t>
      </w:r>
      <w:r>
        <w:rPr>
          <w:rFonts w:hint="eastAsia" w:ascii="仿宋" w:hAnsi="仿宋" w:eastAsia="仿宋"/>
          <w:color w:val="000000" w:themeColor="text1"/>
          <w:kern w:val="0"/>
          <w:szCs w:val="36"/>
          <w14:textFill>
            <w14:solidFill>
              <w14:schemeClr w14:val="tx1"/>
            </w14:solidFill>
          </w14:textFill>
        </w:rPr>
        <w:t>搭建产学研服务平台。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pPr>
        <w:widowControl/>
        <w:adjustRightInd w:val="0"/>
        <w:spacing w:line="560" w:lineRule="exact"/>
        <w:ind w:firstLine="6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7.</w:t>
      </w:r>
      <w:r>
        <w:rPr>
          <w:rFonts w:hint="eastAsia" w:ascii="仿宋" w:hAnsi="仿宋" w:eastAsia="仿宋"/>
          <w:color w:val="000000" w:themeColor="text1"/>
          <w:kern w:val="0"/>
          <w:szCs w:val="36"/>
          <w14:textFill>
            <w14:solidFill>
              <w14:schemeClr w14:val="tx1"/>
            </w14:solidFill>
          </w14:textFill>
        </w:rPr>
        <w:t>完善管理体制机制。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w:t>
      </w:r>
      <w:r>
        <w:rPr>
          <w:rFonts w:ascii="仿宋" w:hAnsi="仿宋" w:eastAsia="仿宋"/>
          <w:color w:val="000000" w:themeColor="text1"/>
          <w:kern w:val="0"/>
          <w:szCs w:val="36"/>
          <w14:textFill>
            <w14:solidFill>
              <w14:schemeClr w14:val="tx1"/>
            </w14:solidFill>
          </w14:textFill>
        </w:rPr>
        <w:t>造高校产教融合的示范区，实现教育链、创新链、产业链的深度融合。</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w:t>
      </w:r>
      <w:bookmarkStart w:id="311" w:name="_Hlk84805646"/>
      <w:r>
        <w:rPr>
          <w:rFonts w:hint="eastAsia" w:ascii="仿宋" w:hAnsi="仿宋" w:eastAsia="仿宋"/>
          <w:b/>
          <w:color w:val="000000" w:themeColor="text1"/>
          <w:kern w:val="0"/>
          <w:szCs w:val="36"/>
          <w14:textFill>
            <w14:solidFill>
              <w14:schemeClr w14:val="tx1"/>
            </w14:solidFill>
          </w14:textFill>
        </w:rPr>
        <w:t>要求</w:t>
      </w:r>
      <w:bookmarkEnd w:id="311"/>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1.</w:t>
      </w:r>
      <w:r>
        <w:rPr>
          <w:rFonts w:hint="eastAsia" w:ascii="仿宋" w:hAnsi="仿宋" w:eastAsia="仿宋"/>
          <w:color w:val="000000" w:themeColor="text1"/>
          <w:kern w:val="0"/>
          <w:sz w:val="30"/>
          <w:szCs w:val="30"/>
          <w14:textFill>
            <w14:solidFill>
              <w14:schemeClr w14:val="tx1"/>
            </w14:solidFill>
          </w14:textFill>
        </w:rPr>
        <w:t>人才培养主要专业与区域产业发展具有高度契合性，相关专业已经列入“</w:t>
      </w:r>
      <w:bookmarkStart w:id="312" w:name="_Hlk84919446"/>
      <w:r>
        <w:rPr>
          <w:rFonts w:hint="eastAsia" w:ascii="仿宋" w:hAnsi="仿宋" w:eastAsia="仿宋"/>
          <w:color w:val="000000" w:themeColor="text1"/>
          <w:kern w:val="0"/>
          <w:sz w:val="30"/>
          <w:szCs w:val="30"/>
          <w14:textFill>
            <w14:solidFill>
              <w14:schemeClr w14:val="tx1"/>
            </w14:solidFill>
          </w14:textFill>
        </w:rPr>
        <w:t>国家级或省级一流专业建设点</w:t>
      </w:r>
      <w:bookmarkEnd w:id="312"/>
      <w:r>
        <w:rPr>
          <w:rFonts w:hint="eastAsia" w:ascii="仿宋" w:hAnsi="仿宋" w:eastAsia="仿宋"/>
          <w:color w:val="000000" w:themeColor="text1"/>
          <w:kern w:val="0"/>
          <w:sz w:val="30"/>
          <w:szCs w:val="30"/>
          <w14:textFill>
            <w14:solidFill>
              <w14:schemeClr w14:val="tx1"/>
            </w14:solidFill>
          </w14:textFill>
        </w:rPr>
        <w:t>”建设范围，具有相对优势。</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2.</w:t>
      </w:r>
      <w:r>
        <w:rPr>
          <w:rFonts w:hint="eastAsia" w:ascii="仿宋" w:hAnsi="仿宋" w:eastAsia="仿宋"/>
          <w:color w:val="000000" w:themeColor="text1"/>
          <w:kern w:val="0"/>
          <w:sz w:val="30"/>
          <w:szCs w:val="30"/>
          <w14:textFill>
            <w14:solidFill>
              <w14:schemeClr w14:val="tx1"/>
            </w14:solidFill>
          </w14:textFill>
        </w:rPr>
        <w:t>相关产业列入区域发展整体规划；参与的企业主体参考产教融合型企业相关要求，在区域产业链条中居主要地位，或在区域产业集群中居关键地位。</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3.</w:t>
      </w:r>
      <w:r>
        <w:rPr>
          <w:rFonts w:hint="eastAsia" w:ascii="仿宋" w:hAnsi="仿宋" w:eastAsia="仿宋"/>
          <w:kern w:val="0"/>
          <w:szCs w:val="32"/>
        </w:rPr>
        <w:t>申报人具备副教授及以上职称或博士学位；</w:t>
      </w:r>
      <w:r>
        <w:rPr>
          <w:rFonts w:hint="eastAsia" w:ascii="仿宋" w:hAnsi="仿宋" w:eastAsia="仿宋"/>
          <w:color w:val="000000" w:themeColor="text1"/>
          <w:kern w:val="0"/>
          <w:sz w:val="30"/>
          <w:szCs w:val="30"/>
          <w14:textFill>
            <w14:solidFill>
              <w14:schemeClr w14:val="tx1"/>
            </w14:solidFill>
          </w14:textFill>
        </w:rPr>
        <w:t>具有相对稳定的高水平教学团队；相关企业主体参与的兼职教师人员，中、高级专业技术职务的人员数量不低于高校专职教师的数量。</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4.</w:t>
      </w:r>
      <w:r>
        <w:rPr>
          <w:rFonts w:hint="eastAsia" w:ascii="仿宋" w:hAnsi="仿宋" w:eastAsia="仿宋"/>
          <w:color w:val="000000" w:themeColor="text1"/>
          <w:kern w:val="0"/>
          <w:sz w:val="30"/>
          <w:szCs w:val="30"/>
          <w14:textFill>
            <w14:solidFill>
              <w14:schemeClr w14:val="tx1"/>
            </w14:solidFill>
          </w14:textFill>
        </w:rPr>
        <w:t>加强产教融合，实践教学学时不低于专业人才培养方案总学时的</w:t>
      </w:r>
      <w:r>
        <w:rPr>
          <w:rFonts w:ascii="仿宋" w:hAnsi="仿宋" w:eastAsia="仿宋"/>
          <w:color w:val="000000" w:themeColor="text1"/>
          <w:kern w:val="0"/>
          <w:sz w:val="30"/>
          <w:szCs w:val="30"/>
          <w14:textFill>
            <w14:solidFill>
              <w14:schemeClr w14:val="tx1"/>
            </w14:solidFill>
          </w14:textFill>
        </w:rPr>
        <w:t xml:space="preserve">30%；具有相对丰富的教学资源； </w:t>
      </w:r>
      <w:r>
        <w:rPr>
          <w:rFonts w:hint="eastAsia" w:ascii="仿宋" w:hAnsi="仿宋" w:eastAsia="仿宋"/>
          <w:color w:val="000000" w:themeColor="text1"/>
          <w:kern w:val="0"/>
          <w:sz w:val="30"/>
          <w:szCs w:val="30"/>
          <w14:textFill>
            <w14:solidFill>
              <w14:schemeClr w14:val="tx1"/>
            </w14:solidFill>
          </w14:textFill>
        </w:rPr>
        <w:t>初步形成理念先进、顺畅运行的管理体系。</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5.学校给予发展所需政策扶持</w:t>
      </w:r>
      <w:r>
        <w:rPr>
          <w:rFonts w:hint="eastAsia" w:ascii="仿宋" w:hAnsi="仿宋" w:eastAsia="仿宋"/>
          <w:color w:val="000000" w:themeColor="text1"/>
          <w:kern w:val="0"/>
          <w:sz w:val="30"/>
          <w:szCs w:val="30"/>
          <w14:textFill>
            <w14:solidFill>
              <w14:schemeClr w14:val="tx1"/>
            </w14:solidFill>
          </w14:textFill>
        </w:rPr>
        <w:t>，能够提供相对集中、面积充足的物理空间，每年提供稳定的经费支持，用于人员聘任、日常运行。</w:t>
      </w:r>
    </w:p>
    <w:p>
      <w:pPr>
        <w:pStyle w:val="4"/>
        <w:spacing w:before="435" w:beforeLines="100" w:after="0" w:line="560" w:lineRule="exact"/>
        <w:ind w:firstLine="723" w:firstLineChars="200"/>
        <w:rPr>
          <w:rFonts w:ascii="仿宋" w:hAnsi="仿宋" w:eastAsia="仿宋"/>
          <w:sz w:val="36"/>
          <w:szCs w:val="36"/>
        </w:rPr>
      </w:pPr>
      <w:bookmarkStart w:id="313" w:name="_Toc86068917"/>
      <w:r>
        <w:rPr>
          <w:rFonts w:ascii="仿宋" w:hAnsi="仿宋" w:eastAsia="仿宋"/>
          <w:sz w:val="36"/>
          <w:szCs w:val="36"/>
        </w:rPr>
        <w:t>9-2</w:t>
      </w:r>
      <w:r>
        <w:rPr>
          <w:rFonts w:hint="eastAsia" w:ascii="仿宋" w:hAnsi="仿宋" w:eastAsia="仿宋"/>
          <w:sz w:val="36"/>
          <w:szCs w:val="36"/>
        </w:rPr>
        <w:t>示范微电子学院</w:t>
      </w:r>
      <w:bookmarkEnd w:id="313"/>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借鉴国际、国内先进经验，建立创新运行管理体制，基础研究和应用研究并重，解决微电子领域安徽省重大需求和学科前沿问题，力争建设成为安徽特色、国家一流的微电子领域高层次科技人才培养基地、微电子技术的研究开发基地和国际化交流平台。</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以国家示范性微电子学院建设要求为指导方针，深入开展产学合作、协同育人，完善学院内部组织管理体系，加强校内资源整合与条件保障，通过学院、研究所、企业等多方共建产学研合作平台推进校企合作，探索企业在职人员再教育培训实现知识升级等一系列措施，深入推动学院的改革发展。</w:t>
      </w:r>
    </w:p>
    <w:p>
      <w:pPr>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培养一批符合产业需求、创新能力强的高端工程型人才，更好地服务于安徽省微电子产业大发展的战略需求。</w:t>
      </w:r>
    </w:p>
    <w:p>
      <w:pPr>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聚焦于新原理</w:t>
      </w:r>
      <w:r>
        <w:rPr>
          <w:rFonts w:ascii="仿宋" w:hAnsi="仿宋" w:eastAsia="仿宋"/>
          <w:color w:val="000000" w:themeColor="text1"/>
          <w:kern w:val="0"/>
          <w:szCs w:val="36"/>
          <w14:textFill>
            <w14:solidFill>
              <w14:schemeClr w14:val="tx1"/>
            </w14:solidFill>
          </w14:textFill>
        </w:rPr>
        <w:t>/</w:t>
      </w:r>
      <w:r>
        <w:rPr>
          <w:rFonts w:hint="eastAsia" w:ascii="仿宋" w:hAnsi="仿宋" w:eastAsia="仿宋"/>
          <w:color w:val="000000" w:themeColor="text1"/>
          <w:kern w:val="0"/>
          <w:szCs w:val="36"/>
          <w14:textFill>
            <w14:solidFill>
              <w14:schemeClr w14:val="tx1"/>
            </w14:solidFill>
          </w14:textFill>
        </w:rPr>
        <w:t>新材料器件、集成电路设计、微机电系统、生物医学电子等，以及相关交叉学科领域。</w:t>
      </w:r>
    </w:p>
    <w:p>
      <w:pPr>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依照学校的人才引进和管理政策，积极从国内外引进高端和优秀青年人才，造就一支国内具有影响力的微电子研究队伍。</w:t>
      </w:r>
    </w:p>
    <w:p>
      <w:pPr>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面向新兴需求，侧重于学科前沿创新，积极与研究所、国内外知名高校和企业合作，在产教融合、产学合作、协同育人方面做出示范，为微电子行业提供高端人才。</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spacing w:line="560" w:lineRule="exact"/>
        <w:ind w:firstLine="480" w:firstLineChars="150"/>
        <w:rPr>
          <w:rFonts w:ascii="仿宋" w:hAnsi="仿宋" w:eastAsia="仿宋"/>
          <w:kern w:val="0"/>
          <w:szCs w:val="36"/>
        </w:rPr>
      </w:pPr>
      <w:r>
        <w:rPr>
          <w:rFonts w:hint="eastAsia" w:ascii="仿宋" w:hAnsi="仿宋" w:eastAsia="仿宋"/>
          <w:kern w:val="0"/>
          <w:szCs w:val="36"/>
        </w:rPr>
        <w:t>1.</w:t>
      </w:r>
      <w:r>
        <w:rPr>
          <w:rFonts w:hint="eastAsia" w:ascii="仿宋" w:hAnsi="仿宋" w:eastAsia="仿宋"/>
          <w:color w:val="000000" w:themeColor="text1"/>
          <w:kern w:val="0"/>
          <w:szCs w:val="36"/>
          <w14:textFill>
            <w14:solidFill>
              <w14:schemeClr w14:val="tx1"/>
            </w14:solidFill>
          </w14:textFill>
        </w:rPr>
        <w:t>申报高校原则上应为拥有集成电路设计与集成系统专业、微电子科学与工程专业国家级或省级一流本科专业建设点。</w:t>
      </w:r>
    </w:p>
    <w:p>
      <w:pPr>
        <w:widowControl/>
        <w:adjustRightInd w:val="0"/>
        <w:spacing w:line="560" w:lineRule="exact"/>
        <w:ind w:firstLine="600" w:firstLineChars="200"/>
        <w:rPr>
          <w:rFonts w:ascii="仿宋" w:hAnsi="仿宋" w:eastAsia="仿宋"/>
          <w:kern w:val="0"/>
          <w:sz w:val="30"/>
          <w:szCs w:val="30"/>
        </w:rPr>
      </w:pPr>
      <w:r>
        <w:rPr>
          <w:rFonts w:ascii="仿宋" w:hAnsi="仿宋" w:eastAsia="仿宋"/>
          <w:kern w:val="0"/>
          <w:sz w:val="30"/>
          <w:szCs w:val="30"/>
        </w:rPr>
        <w:t>2.</w:t>
      </w:r>
      <w:r>
        <w:rPr>
          <w:rFonts w:hint="eastAsia" w:ascii="仿宋" w:hAnsi="仿宋" w:eastAsia="仿宋"/>
          <w:kern w:val="0"/>
          <w:sz w:val="30"/>
          <w:szCs w:val="30"/>
        </w:rPr>
        <w:t>相关产业列入区域发展整体规划；参与的企业主体参考产教融合型企业相关要求，在区域产业链条中居主要地位，或在区域产业集群中居关键地位。</w:t>
      </w:r>
    </w:p>
    <w:p>
      <w:pPr>
        <w:widowControl/>
        <w:adjustRightInd w:val="0"/>
        <w:spacing w:line="560" w:lineRule="exact"/>
        <w:ind w:firstLine="600" w:firstLineChars="200"/>
        <w:rPr>
          <w:rFonts w:ascii="仿宋" w:hAnsi="仿宋" w:eastAsia="仿宋"/>
          <w:kern w:val="0"/>
          <w:sz w:val="30"/>
          <w:szCs w:val="30"/>
        </w:rPr>
      </w:pPr>
      <w:r>
        <w:rPr>
          <w:rFonts w:ascii="仿宋" w:hAnsi="仿宋" w:eastAsia="仿宋"/>
          <w:kern w:val="0"/>
          <w:sz w:val="30"/>
          <w:szCs w:val="30"/>
        </w:rPr>
        <w:t>3.</w:t>
      </w:r>
      <w:r>
        <w:rPr>
          <w:rFonts w:hint="eastAsia" w:ascii="仿宋" w:hAnsi="仿宋" w:eastAsia="仿宋"/>
          <w:kern w:val="0"/>
          <w:szCs w:val="32"/>
        </w:rPr>
        <w:t>申报人具备副教授及以上职称或博士学位；</w:t>
      </w:r>
      <w:r>
        <w:rPr>
          <w:rFonts w:hint="eastAsia" w:ascii="仿宋" w:hAnsi="仿宋" w:eastAsia="仿宋"/>
          <w:kern w:val="0"/>
          <w:sz w:val="30"/>
          <w:szCs w:val="30"/>
        </w:rPr>
        <w:t>具有相对稳定的高水平教学团队；相关企业主体参与的兼职教师人员，中、高级专业技术职务的人员数量不低于高校专职教师的数量。</w:t>
      </w:r>
    </w:p>
    <w:p>
      <w:pPr>
        <w:widowControl/>
        <w:adjustRightInd w:val="0"/>
        <w:spacing w:line="560" w:lineRule="exact"/>
        <w:ind w:firstLine="600" w:firstLineChars="200"/>
        <w:rPr>
          <w:rFonts w:ascii="仿宋" w:hAnsi="仿宋" w:eastAsia="仿宋"/>
          <w:color w:val="000000" w:themeColor="text1"/>
          <w:kern w:val="0"/>
          <w:szCs w:val="36"/>
          <w14:textFill>
            <w14:solidFill>
              <w14:schemeClr w14:val="tx1"/>
            </w14:solidFill>
          </w14:textFill>
        </w:rPr>
      </w:pPr>
      <w:r>
        <w:rPr>
          <w:rFonts w:ascii="仿宋" w:hAnsi="仿宋" w:eastAsia="仿宋"/>
          <w:kern w:val="0"/>
          <w:sz w:val="30"/>
          <w:szCs w:val="30"/>
        </w:rPr>
        <w:t>4.学校给予发展所需政策扶持</w:t>
      </w:r>
      <w:r>
        <w:rPr>
          <w:rFonts w:hint="eastAsia" w:ascii="仿宋" w:hAnsi="仿宋" w:eastAsia="仿宋"/>
          <w:kern w:val="0"/>
          <w:sz w:val="30"/>
          <w:szCs w:val="30"/>
        </w:rPr>
        <w:t>，能够提供相对集中、面积充足的物理空间，每年提供稳定的经费支持，用于人员聘任、日常运行。</w:t>
      </w:r>
    </w:p>
    <w:p>
      <w:pPr>
        <w:pStyle w:val="4"/>
        <w:spacing w:before="435" w:beforeLines="100" w:after="0" w:line="560" w:lineRule="exact"/>
        <w:ind w:firstLine="723" w:firstLineChars="200"/>
        <w:rPr>
          <w:rFonts w:ascii="仿宋" w:hAnsi="仿宋" w:eastAsia="仿宋"/>
          <w:sz w:val="36"/>
          <w:szCs w:val="36"/>
        </w:rPr>
      </w:pPr>
      <w:bookmarkStart w:id="314" w:name="_Toc86068918"/>
      <w:r>
        <w:rPr>
          <w:rFonts w:ascii="仿宋" w:hAnsi="仿宋" w:eastAsia="仿宋"/>
          <w:sz w:val="36"/>
          <w:szCs w:val="36"/>
        </w:rPr>
        <w:t>9-3</w:t>
      </w:r>
      <w:r>
        <w:rPr>
          <w:rFonts w:hint="eastAsia" w:ascii="仿宋" w:hAnsi="仿宋" w:eastAsia="仿宋"/>
          <w:sz w:val="36"/>
          <w:szCs w:val="36"/>
        </w:rPr>
        <w:t>网络安全学院</w:t>
      </w:r>
      <w:bookmarkEnd w:id="314"/>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以探索网络安全人才培养新思路、新体制、新机制为主要内容，改革创新，先行先试，从政策、投入等多方面采取措施。加强指导和支持，充分发挥地方政府、企业和社会各方面积极性，共建国内一流网络安全学院。</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加强学科专业建设，开展高水平科学研究，完善本科、研究生教育和网络安全人才培养体系。探索开设网络安全相关专业少年班、特长班。</w:t>
      </w:r>
    </w:p>
    <w:p>
      <w:pPr>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根据学校实际，拓展网络安全专业方向，合理调整和扩大网络安全专业招生规模，建设跨理学、工学、法学、管理学等门类的网络安全人才综合培养平台。</w:t>
      </w:r>
    </w:p>
    <w:p>
      <w:pPr>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与企业、科研单位联合建设一流网络安全实验室，开展网络安全科研教学活动，承担安徽省下达的重点和专项研究任务。</w:t>
      </w:r>
    </w:p>
    <w:p>
      <w:pPr>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积极创造条件，吸引和鼓励专业知识好、富有网络安全工作和教学经验的人员从事网络安全教学工作。聘请经验丰富的网络安全技术和管理专家、特殊人才担任兼职教师。</w:t>
      </w:r>
    </w:p>
    <w:p>
      <w:pPr>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有计划组织网络安全专业教师赴网信企业、科研机构和省机关合作科研或挂职。从培养目标、课程设置、教材编制、实践教学、课题研究等多个环节与企业加强合作。</w:t>
      </w:r>
    </w:p>
    <w:p>
      <w:pPr>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6.</w:t>
      </w:r>
      <w:r>
        <w:rPr>
          <w:rFonts w:hint="eastAsia" w:ascii="仿宋" w:hAnsi="仿宋" w:eastAsia="仿宋"/>
          <w:color w:val="000000" w:themeColor="text1"/>
          <w:kern w:val="0"/>
          <w:szCs w:val="36"/>
          <w14:textFill>
            <w14:solidFill>
              <w14:schemeClr w14:val="tx1"/>
            </w14:solidFill>
          </w14:textFill>
        </w:rPr>
        <w:t>鼓励学生在校阶段积极参与创新创业，形成网络安全人才培养、技术创新、产业发展的良好生态链。</w:t>
      </w:r>
    </w:p>
    <w:p>
      <w:pPr>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7.</w:t>
      </w:r>
      <w:r>
        <w:rPr>
          <w:rFonts w:hint="eastAsia" w:ascii="仿宋" w:hAnsi="仿宋" w:eastAsia="仿宋"/>
          <w:color w:val="000000" w:themeColor="text1"/>
          <w:kern w:val="0"/>
          <w:szCs w:val="36"/>
          <w14:textFill>
            <w14:solidFill>
              <w14:schemeClr w14:val="tx1"/>
            </w14:solidFill>
          </w14:textFill>
        </w:rPr>
        <w:t>创新网络安全人才评价机制，不唯学历，不唯论文，不唯资历，以实际能力为衡量标准，突出专业性、创新性、实用性。</w:t>
      </w:r>
    </w:p>
    <w:p>
      <w:pPr>
        <w:spacing w:line="560" w:lineRule="exact"/>
        <w:ind w:firstLine="480" w:firstLineChars="15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　</w:t>
      </w:r>
      <w:r>
        <w:rPr>
          <w:rFonts w:ascii="仿宋" w:hAnsi="仿宋" w:eastAsia="仿宋"/>
          <w:color w:val="000000" w:themeColor="text1"/>
          <w:kern w:val="0"/>
          <w:szCs w:val="36"/>
          <w14:textFill>
            <w14:solidFill>
              <w14:schemeClr w14:val="tx1"/>
            </w14:solidFill>
          </w14:textFill>
        </w:rPr>
        <w:t>8.</w:t>
      </w:r>
      <w:r>
        <w:rPr>
          <w:rFonts w:hint="eastAsia" w:ascii="仿宋" w:hAnsi="仿宋" w:eastAsia="仿宋"/>
          <w:color w:val="000000" w:themeColor="text1"/>
          <w:kern w:val="0"/>
          <w:szCs w:val="36"/>
          <w14:textFill>
            <w14:solidFill>
              <w14:schemeClr w14:val="tx1"/>
            </w14:solidFill>
          </w14:textFill>
        </w:rPr>
        <w:t>承担安徽省教育厅下达的有关网络安全研究和改革性项目。</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spacing w:line="560" w:lineRule="exact"/>
        <w:ind w:firstLine="640" w:firstLineChars="200"/>
        <w:rPr>
          <w:rFonts w:ascii="仿宋" w:hAnsi="仿宋" w:eastAsia="仿宋"/>
          <w:kern w:val="0"/>
          <w:szCs w:val="36"/>
        </w:rPr>
      </w:pPr>
      <w:r>
        <w:rPr>
          <w:rFonts w:hint="eastAsia" w:ascii="仿宋" w:hAnsi="仿宋" w:eastAsia="仿宋"/>
          <w:kern w:val="0"/>
          <w:szCs w:val="36"/>
        </w:rPr>
        <w:t>1.</w:t>
      </w:r>
      <w:r>
        <w:rPr>
          <w:rFonts w:hint="eastAsia" w:ascii="仿宋" w:hAnsi="仿宋" w:eastAsia="仿宋"/>
          <w:color w:val="000000" w:themeColor="text1"/>
          <w:kern w:val="0"/>
          <w:szCs w:val="36"/>
          <w14:textFill>
            <w14:solidFill>
              <w14:schemeClr w14:val="tx1"/>
            </w14:solidFill>
          </w14:textFill>
        </w:rPr>
        <w:t>申报高校原则上应为拥有网络安全专业国家级或省级一流本科专业建设点。</w:t>
      </w:r>
    </w:p>
    <w:p>
      <w:pPr>
        <w:widowControl/>
        <w:adjustRightInd w:val="0"/>
        <w:spacing w:line="560" w:lineRule="exact"/>
        <w:ind w:firstLine="600" w:firstLineChars="200"/>
        <w:rPr>
          <w:rFonts w:ascii="仿宋" w:hAnsi="仿宋" w:eastAsia="仿宋"/>
          <w:kern w:val="0"/>
          <w:sz w:val="30"/>
          <w:szCs w:val="30"/>
        </w:rPr>
      </w:pPr>
      <w:r>
        <w:rPr>
          <w:rFonts w:ascii="仿宋" w:hAnsi="仿宋" w:eastAsia="仿宋"/>
          <w:kern w:val="0"/>
          <w:sz w:val="30"/>
          <w:szCs w:val="30"/>
        </w:rPr>
        <w:t>2.</w:t>
      </w:r>
      <w:r>
        <w:rPr>
          <w:rFonts w:hint="eastAsia" w:ascii="仿宋" w:hAnsi="仿宋" w:eastAsia="仿宋"/>
          <w:kern w:val="0"/>
          <w:szCs w:val="32"/>
        </w:rPr>
        <w:t>申报人具备副教授及以上职称或博士学位；</w:t>
      </w:r>
      <w:r>
        <w:rPr>
          <w:rFonts w:hint="eastAsia" w:ascii="仿宋" w:hAnsi="仿宋" w:eastAsia="仿宋"/>
          <w:kern w:val="0"/>
          <w:sz w:val="30"/>
          <w:szCs w:val="30"/>
        </w:rPr>
        <w:t>具有相对稳定的高水平教学团队；相关企业主体参与的兼职教师人员，中、高级专业技术职务的人员数量不低于高校专职教师的数量。</w:t>
      </w:r>
    </w:p>
    <w:p>
      <w:pPr>
        <w:widowControl/>
        <w:adjustRightInd w:val="0"/>
        <w:spacing w:line="560" w:lineRule="exact"/>
        <w:ind w:firstLine="600" w:firstLineChars="200"/>
        <w:rPr>
          <w:rFonts w:ascii="仿宋" w:hAnsi="仿宋" w:eastAsia="仿宋"/>
          <w:kern w:val="0"/>
          <w:sz w:val="30"/>
          <w:szCs w:val="30"/>
        </w:rPr>
      </w:pPr>
      <w:r>
        <w:rPr>
          <w:rFonts w:ascii="仿宋" w:hAnsi="仿宋" w:eastAsia="仿宋"/>
          <w:kern w:val="0"/>
          <w:sz w:val="30"/>
          <w:szCs w:val="30"/>
        </w:rPr>
        <w:t>3.学校给予发展所需政策扶持</w:t>
      </w:r>
      <w:r>
        <w:rPr>
          <w:rFonts w:hint="eastAsia" w:ascii="仿宋" w:hAnsi="仿宋" w:eastAsia="仿宋"/>
          <w:kern w:val="0"/>
          <w:sz w:val="30"/>
          <w:szCs w:val="30"/>
        </w:rPr>
        <w:t>，能够提供相对集中、面积充足的物理空间，每年提供稳定的经费支持，用于人员聘任、日常运行。</w:t>
      </w:r>
    </w:p>
    <w:p>
      <w:pPr>
        <w:pStyle w:val="4"/>
        <w:spacing w:before="435" w:beforeLines="100" w:after="0" w:line="560" w:lineRule="exact"/>
        <w:ind w:firstLine="723" w:firstLineChars="200"/>
        <w:rPr>
          <w:rFonts w:ascii="仿宋" w:hAnsi="仿宋" w:eastAsia="仿宋"/>
          <w:sz w:val="36"/>
          <w:szCs w:val="36"/>
        </w:rPr>
      </w:pPr>
      <w:bookmarkStart w:id="315" w:name="_Toc86068919"/>
      <w:r>
        <w:rPr>
          <w:rFonts w:ascii="仿宋" w:hAnsi="仿宋" w:eastAsia="仿宋"/>
          <w:sz w:val="36"/>
          <w:szCs w:val="36"/>
        </w:rPr>
        <w:t>9-4</w:t>
      </w:r>
      <w:r>
        <w:rPr>
          <w:rFonts w:hint="eastAsia" w:ascii="仿宋" w:hAnsi="仿宋" w:eastAsia="仿宋"/>
          <w:sz w:val="36"/>
          <w:szCs w:val="36"/>
        </w:rPr>
        <w:t>未来技术学院</w:t>
      </w:r>
      <w:bookmarkEnd w:id="315"/>
    </w:p>
    <w:p>
      <w:pPr>
        <w:widowControl/>
        <w:adjustRightInd w:val="0"/>
        <w:spacing w:line="560" w:lineRule="exact"/>
        <w:ind w:firstLine="643" w:firstLineChars="200"/>
        <w:outlineLvl w:val="3"/>
        <w:rPr>
          <w:rFonts w:ascii="仿宋" w:hAnsi="仿宋" w:eastAsia="仿宋"/>
          <w:b/>
          <w:color w:val="000000" w:themeColor="text1"/>
          <w:kern w:val="0"/>
          <w:szCs w:val="32"/>
          <w14:textFill>
            <w14:solidFill>
              <w14:schemeClr w14:val="tx1"/>
            </w14:solidFill>
          </w14:textFill>
        </w:rPr>
      </w:pPr>
      <w:r>
        <w:rPr>
          <w:rFonts w:hint="eastAsia" w:ascii="仿宋" w:hAnsi="仿宋" w:eastAsia="仿宋"/>
          <w:b/>
          <w:color w:val="000000" w:themeColor="text1"/>
          <w:kern w:val="0"/>
          <w:szCs w:val="32"/>
          <w14:textFill>
            <w14:solidFill>
              <w14:schemeClr w14:val="tx1"/>
            </w14:solidFill>
          </w14:textFill>
        </w:rPr>
        <w:t>一、建设目标</w:t>
      </w:r>
    </w:p>
    <w:p>
      <w:pPr>
        <w:widowControl/>
        <w:adjustRightInd w:val="0"/>
        <w:spacing w:line="560" w:lineRule="exact"/>
        <w:ind w:firstLine="650"/>
        <w:rPr>
          <w:rFonts w:ascii="仿宋" w:hAnsi="仿宋" w:eastAsia="仿宋"/>
          <w:color w:val="000000" w:themeColor="text1"/>
          <w:kern w:val="0"/>
          <w:szCs w:val="32"/>
          <w14:textFill>
            <w14:solidFill>
              <w14:schemeClr w14:val="tx1"/>
            </w14:solidFill>
          </w14:textFill>
        </w:rPr>
      </w:pPr>
      <w:r>
        <w:rPr>
          <w:rFonts w:hint="eastAsia" w:ascii="仿宋" w:hAnsi="仿宋" w:eastAsia="仿宋"/>
          <w:color w:val="000000" w:themeColor="text1"/>
          <w:kern w:val="0"/>
          <w:szCs w:val="32"/>
          <w14:textFill>
            <w14:solidFill>
              <w14:schemeClr w14:val="tx1"/>
            </w14:solidFill>
          </w14:textFill>
        </w:rPr>
        <w:t>在专业学科综合、整体实力强的部分高校建设一批未来技术学院，探索专业学科实质性复合交叉合作规律，探索未来科技创新领军人才培养新模式。在此基础上，不断加强建设，争取用</w:t>
      </w:r>
      <w:r>
        <w:rPr>
          <w:rFonts w:ascii="仿宋" w:hAnsi="仿宋" w:eastAsia="仿宋"/>
          <w:color w:val="000000" w:themeColor="text1"/>
          <w:kern w:val="0"/>
          <w:szCs w:val="32"/>
          <w14:textFill>
            <w14:solidFill>
              <w14:schemeClr w14:val="tx1"/>
            </w14:solidFill>
          </w14:textFill>
        </w:rPr>
        <w:t>10年左右时间锻造一批在前沿交叉与未来技术领域具有重要影响的高水平教师团队，建设若干适应未来技术研究所需的科教资源平台和数字化资源，培育一批在前沿交叉科学与未来技术领域可能产生重大影响的原创性成果，形成一批具有代表性的体制机制范例，打造能够引领未来科技发展和有效培养复合型、创新性人才的教学科研高地。</w:t>
      </w:r>
    </w:p>
    <w:p>
      <w:pPr>
        <w:widowControl/>
        <w:adjustRightInd w:val="0"/>
        <w:spacing w:line="560" w:lineRule="exact"/>
        <w:ind w:firstLine="643" w:firstLineChars="200"/>
        <w:outlineLvl w:val="3"/>
        <w:rPr>
          <w:rFonts w:ascii="仿宋" w:hAnsi="仿宋" w:eastAsia="仿宋"/>
          <w:b/>
          <w:color w:val="000000" w:themeColor="text1"/>
          <w:kern w:val="0"/>
          <w:szCs w:val="32"/>
          <w14:textFill>
            <w14:solidFill>
              <w14:schemeClr w14:val="tx1"/>
            </w14:solidFill>
          </w14:textFill>
        </w:rPr>
      </w:pPr>
      <w:r>
        <w:rPr>
          <w:rFonts w:hint="eastAsia" w:ascii="仿宋" w:hAnsi="仿宋" w:eastAsia="仿宋"/>
          <w:b/>
          <w:color w:val="000000" w:themeColor="text1"/>
          <w:kern w:val="0"/>
          <w:szCs w:val="32"/>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1.</w:t>
      </w:r>
      <w:r>
        <w:rPr>
          <w:rFonts w:hint="eastAsia" w:ascii="仿宋" w:hAnsi="仿宋" w:eastAsia="仿宋"/>
          <w:color w:val="000000" w:themeColor="text1"/>
          <w:kern w:val="0"/>
          <w:szCs w:val="32"/>
          <w14:textFill>
            <w14:solidFill>
              <w14:schemeClr w14:val="tx1"/>
            </w14:solidFill>
          </w14:textFill>
        </w:rPr>
        <w:t>凝练未来技术特色。根据学校人才培养定位和专业实际、人才队伍结构特点，在面向未来经济社会发展的基础性、关键性领域，打破传统按照学科门类划分的知识体系，凝练独具优势的、基于专业交叉的未来技术特色。以关乎国家战略发展和人类科技进步的重大问题、重大项目为基点，促进学科交叉和跨界知识融合。</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2.</w:t>
      </w:r>
      <w:r>
        <w:rPr>
          <w:rFonts w:hint="eastAsia" w:ascii="仿宋" w:hAnsi="仿宋" w:eastAsia="仿宋"/>
          <w:color w:val="000000" w:themeColor="text1"/>
          <w:kern w:val="0"/>
          <w:szCs w:val="32"/>
          <w14:textFill>
            <w14:solidFill>
              <w14:schemeClr w14:val="tx1"/>
            </w14:solidFill>
          </w14:textFill>
        </w:rPr>
        <w:t>创新人才培养模式。坚持知识传授与价值引领相统一，培养学生追求真理、勇攀高峰的科学精神，坚定服务国家、造福人类的责任感、使命感。坚持学生中心，聚焦学生创新能力、审辩思维、持续发展、沟通合作等核心素养，结合关键核心科学技术问题，探索形成以科技前沿技术为驱动的面向未来技术的人才培养新模式。关注学生科研兴趣、基础和发展潜力，完善导师制和学分制，优化学生遴选和动态管理机制，积极探索“本硕博”贯通培养机制，引导学生科学规划成长路径。坚持兴趣激励、问题导向和创新驱动原则，构建包含研讨课、案例分析课、科技前沿课的研究型课程体系。创新学业考核评价机制，提升学业挑战度、延展学业深度，为学生探索未知领域留足空间。重视学生的全面成长，强化阅读量和阅读能力考查，丰富学生知识领域；强化现代信息技术与教育教学深度融合，探索混合现实、量子计算等新技术、新工具、新标准在教学中的深度应用。</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3.</w:t>
      </w:r>
      <w:r>
        <w:rPr>
          <w:rFonts w:hint="eastAsia" w:ascii="仿宋" w:hAnsi="仿宋" w:eastAsia="仿宋"/>
          <w:color w:val="000000" w:themeColor="text1"/>
          <w:kern w:val="0"/>
          <w:szCs w:val="32"/>
          <w14:textFill>
            <w14:solidFill>
              <w14:schemeClr w14:val="tx1"/>
            </w14:solidFill>
          </w14:textFill>
        </w:rPr>
        <w:t>革新教学组织形式。以组织模式创新为抓手，引领带动工程教育在理念、范式、标准、路径、技术、方法和评价等方面的全链条、深层次变革。突破传统教学组织形式和时空限制，坚持问题导向、目标导向，对现有培养体系、资源要素、管理模式进行大胆革新，面向未来技术的人才培养，创新教学组织形式。搭建多学科交叉融合的科学猜想平台，激励学生提出新的科学猜想，尝试解决已有的科学猜想、揭示新的科学事实和预见新的科学规律，以思维创新、方法创新、理论创新探索未知。依托重大科研项目、重点平台，充分发挥关键共性、前沿引领、颠覆性等技术中重大实践和基础理论问题的牵引作用，瞄准未来技术发展，探索基于项目的动态教学组织形态。</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4.</w:t>
      </w:r>
      <w:r>
        <w:rPr>
          <w:rFonts w:hint="eastAsia" w:ascii="仿宋" w:hAnsi="仿宋" w:eastAsia="仿宋"/>
          <w:color w:val="000000" w:themeColor="text1"/>
          <w:kern w:val="0"/>
          <w:szCs w:val="32"/>
          <w14:textFill>
            <w14:solidFill>
              <w14:schemeClr w14:val="tx1"/>
            </w14:solidFill>
          </w14:textFill>
        </w:rPr>
        <w:t>打造高水平教师队伍。适应未来技术人才培养特点，推动大师领航，建设一支德才兼备、造诣深厚，学科背景交叉、学缘结构合理，核心骨干相对稳定，热心与学生共同研究、共同成长，对科技发展前沿有极强敏锐性和把控能力的高层次教师队伍。引导教师把发现、培养青年人才作为一项重要责任，在传播科学知识上学为人师、在弘扬科学精神上身体力行。</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5.</w:t>
      </w:r>
      <w:r>
        <w:rPr>
          <w:rFonts w:hint="eastAsia" w:ascii="仿宋" w:hAnsi="仿宋" w:eastAsia="仿宋"/>
          <w:color w:val="000000" w:themeColor="text1"/>
          <w:kern w:val="0"/>
          <w:szCs w:val="32"/>
          <w14:textFill>
            <w14:solidFill>
              <w14:schemeClr w14:val="tx1"/>
            </w14:solidFill>
          </w14:textFill>
        </w:rPr>
        <w:t>深化国际合作。深化与世界顶尖大学的战略合作和互学互鉴，吸引国际学术大师参与学生培养，选派优秀学生访学交流，为学生接触世界科学文化研究最前沿、融入国际一流学术群体创造条件。进一步完善国际学生招收、培养、管理、服务的制度体系，吸引高水平国外本科生，为构建人类命运共同体、应对人类未来挑战提供人才保障。</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6.</w:t>
      </w:r>
      <w:r>
        <w:rPr>
          <w:rFonts w:hint="eastAsia" w:ascii="仿宋" w:hAnsi="仿宋" w:eastAsia="仿宋"/>
          <w:color w:val="000000" w:themeColor="text1"/>
          <w:kern w:val="0"/>
          <w:szCs w:val="32"/>
          <w14:textFill>
            <w14:solidFill>
              <w14:schemeClr w14:val="tx1"/>
            </w14:solidFill>
          </w14:textFill>
        </w:rPr>
        <w:t>汇聚各方资源。汇聚科研院所、企业、投资机构等各方资源，为未来科技发展和未来科技创新领军人才培养提供有力支撑。促进未来技术发展、产业变革与创新创业教育深度融合，引入行业领军企业最优质资源，面向未来技术发展需求，将前沿科学技术有机融入人才培养全过程。探索建立经费和资源持续投入机制，为师生潜心研究前沿技术提供坚实保障。鼓励未来技术学院建设高校之间积极开展交流合作，实现人才培养经验的实时共享，汇集多方优势资源，构建开放式协同创新人才培养大平台，发挥人才培养溢出效应。</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7.</w:t>
      </w:r>
      <w:r>
        <w:rPr>
          <w:rFonts w:hint="eastAsia" w:ascii="仿宋" w:hAnsi="仿宋" w:eastAsia="仿宋"/>
          <w:color w:val="000000" w:themeColor="text1"/>
          <w:kern w:val="0"/>
          <w:szCs w:val="32"/>
          <w14:textFill>
            <w14:solidFill>
              <w14:schemeClr w14:val="tx1"/>
            </w14:solidFill>
          </w14:textFill>
        </w:rPr>
        <w:t>优化管理机制。全面落实学生中心、产出导向、持续改进的理念，建设大学质量文化，将质量意识、质量标准、质量评价、质量管理等融入未来科技创新领军人才培育全过程。健全未来技术学院管理体系，建立面向未来科技创新领军人才培养的质量保障体系，创新管理体制与运行机制，完善部门分工负责、全员协同参与的责任体系，加强与校内有关学院、部门的协同联动。探索创新人才培养效果评价机制，充分利用大数据、人工智能等信息技术，建立专家委员会等机制对人才培养成效进行实时评估，按年度发布建设进展报告。</w:t>
      </w:r>
    </w:p>
    <w:p>
      <w:pPr>
        <w:widowControl/>
        <w:adjustRightInd w:val="0"/>
        <w:spacing w:line="560" w:lineRule="exact"/>
        <w:ind w:firstLine="643" w:firstLineChars="200"/>
        <w:outlineLvl w:val="3"/>
        <w:rPr>
          <w:rFonts w:ascii="仿宋" w:hAnsi="仿宋" w:eastAsia="仿宋"/>
          <w:b/>
          <w:color w:val="000000" w:themeColor="text1"/>
          <w:kern w:val="0"/>
          <w:szCs w:val="32"/>
          <w14:textFill>
            <w14:solidFill>
              <w14:schemeClr w14:val="tx1"/>
            </w14:solidFill>
          </w14:textFill>
        </w:rPr>
      </w:pPr>
      <w:r>
        <w:rPr>
          <w:rFonts w:hint="eastAsia" w:ascii="仿宋" w:hAnsi="仿宋" w:eastAsia="仿宋"/>
          <w:b/>
          <w:color w:val="000000" w:themeColor="text1"/>
          <w:kern w:val="0"/>
          <w:szCs w:val="32"/>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1.</w:t>
      </w:r>
      <w:r>
        <w:rPr>
          <w:rFonts w:hint="eastAsia" w:ascii="仿宋" w:hAnsi="仿宋" w:eastAsia="仿宋"/>
          <w:color w:val="000000" w:themeColor="text1"/>
          <w:kern w:val="0"/>
          <w:szCs w:val="32"/>
          <w14:textFill>
            <w14:solidFill>
              <w14:schemeClr w14:val="tx1"/>
            </w14:solidFill>
          </w14:textFill>
        </w:rPr>
        <w:t>主要依托专业或学科已经列入“国家级一流专业”或“一流学科”建设范围。</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2.</w:t>
      </w:r>
      <w:r>
        <w:rPr>
          <w:rFonts w:hint="eastAsia" w:ascii="仿宋" w:hAnsi="仿宋" w:eastAsia="仿宋"/>
          <w:kern w:val="0"/>
          <w:szCs w:val="32"/>
        </w:rPr>
        <w:t>申报人具备副教授及以上职称或博士学位；</w:t>
      </w:r>
      <w:r>
        <w:rPr>
          <w:rFonts w:hint="eastAsia" w:ascii="仿宋" w:hAnsi="仿宋" w:eastAsia="仿宋"/>
          <w:color w:val="000000" w:themeColor="text1"/>
          <w:kern w:val="0"/>
          <w:szCs w:val="32"/>
          <w14:textFill>
            <w14:solidFill>
              <w14:schemeClr w14:val="tx1"/>
            </w14:solidFill>
          </w14:textFill>
        </w:rPr>
        <w:t>具有相对稳定的高水平教学团队和相对丰富的教学、科研资源，初步形成理念先进、顺畅运行的管理体系。</w:t>
      </w:r>
    </w:p>
    <w:p>
      <w:pPr>
        <w:widowControl/>
        <w:adjustRightInd w:val="0"/>
        <w:spacing w:line="560" w:lineRule="exact"/>
        <w:ind w:firstLine="64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3.学校给予发展所需政策扶持</w:t>
      </w:r>
      <w:r>
        <w:rPr>
          <w:rFonts w:hint="eastAsia" w:ascii="仿宋" w:hAnsi="仿宋" w:eastAsia="仿宋"/>
          <w:color w:val="000000" w:themeColor="text1"/>
          <w:kern w:val="0"/>
          <w:szCs w:val="32"/>
          <w14:textFill>
            <w14:solidFill>
              <w14:schemeClr w14:val="tx1"/>
            </w14:solidFill>
          </w14:textFill>
        </w:rPr>
        <w:t>，能够提供相对集中、面积充足的物理空间，每年提供稳定的经费支持，用于人员聘任、日常运行。</w:t>
      </w:r>
    </w:p>
    <w:p>
      <w:pPr>
        <w:pStyle w:val="4"/>
        <w:spacing w:before="435" w:beforeLines="100" w:after="0" w:line="560" w:lineRule="exact"/>
        <w:ind w:firstLine="723" w:firstLineChars="200"/>
        <w:rPr>
          <w:rFonts w:ascii="仿宋" w:hAnsi="仿宋" w:eastAsia="仿宋"/>
          <w:sz w:val="36"/>
          <w:szCs w:val="36"/>
        </w:rPr>
      </w:pPr>
      <w:bookmarkStart w:id="316" w:name="_Toc86068920"/>
      <w:r>
        <w:rPr>
          <w:rFonts w:ascii="仿宋" w:hAnsi="仿宋" w:eastAsia="仿宋"/>
          <w:sz w:val="36"/>
          <w:szCs w:val="36"/>
        </w:rPr>
        <w:t>9-5</w:t>
      </w:r>
      <w:r>
        <w:rPr>
          <w:rFonts w:hint="eastAsia" w:ascii="仿宋" w:hAnsi="仿宋" w:eastAsia="仿宋"/>
          <w:sz w:val="36"/>
          <w:szCs w:val="36"/>
        </w:rPr>
        <w:t>储能技术学院</w:t>
      </w:r>
      <w:bookmarkEnd w:id="316"/>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5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以储能技术发展急需为牵引，面向行业特色鲜明、与产业联系紧密的高校，</w:t>
      </w:r>
      <w:bookmarkStart w:id="317" w:name="_Hlk84800411"/>
      <w:r>
        <w:rPr>
          <w:rFonts w:hint="eastAsia" w:ascii="仿宋" w:hAnsi="仿宋" w:eastAsia="仿宋"/>
          <w:color w:val="000000" w:themeColor="text1"/>
          <w:kern w:val="0"/>
          <w:szCs w:val="36"/>
          <w14:textFill>
            <w14:solidFill>
              <w14:schemeClr w14:val="tx1"/>
            </w14:solidFill>
          </w14:textFill>
        </w:rPr>
        <w:t>储能技术</w:t>
      </w:r>
      <w:bookmarkEnd w:id="317"/>
      <w:r>
        <w:rPr>
          <w:rFonts w:hint="eastAsia" w:ascii="仿宋" w:hAnsi="仿宋" w:eastAsia="仿宋"/>
          <w:color w:val="000000" w:themeColor="text1"/>
          <w:kern w:val="0"/>
          <w:szCs w:val="36"/>
          <w14:textFill>
            <w14:solidFill>
              <w14:schemeClr w14:val="tx1"/>
            </w14:solidFill>
          </w14:textFill>
        </w:rPr>
        <w:t>人才培养专业学科体系日趋完备，专业人才培养结构规模和空间布局科学合理，建设若干储能技术学院，建设一批储能技术产教融合创新平台，推动储能技术关键环节研究达到国内领先水平，形成一批重点技术规范和标准，有效推动能源革命和能源互联网发展。</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1.</w:t>
      </w:r>
      <w:r>
        <w:rPr>
          <w:rFonts w:hint="eastAsia" w:ascii="仿宋" w:hAnsi="仿宋" w:eastAsia="仿宋"/>
          <w:color w:val="000000" w:themeColor="text1"/>
          <w:kern w:val="0"/>
          <w:sz w:val="30"/>
          <w:szCs w:val="30"/>
          <w14:textFill>
            <w14:solidFill>
              <w14:schemeClr w14:val="tx1"/>
            </w14:solidFill>
          </w14:textFill>
        </w:rPr>
        <w:t>围绕产业需求、结合办学定位、整合办学优势，布局建设储能技术、储能材料、储能管理等新专业，改造升级材料物理、材料化学、新能源科学与工程、新能源材料与器件等已有专业，加快推进储能技术相关专业的建设标准、培养方案、课程体系以及教材体系建设。</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2.</w:t>
      </w:r>
      <w:r>
        <w:rPr>
          <w:rFonts w:hint="eastAsia" w:ascii="仿宋" w:hAnsi="仿宋" w:eastAsia="仿宋"/>
          <w:color w:val="000000" w:themeColor="text1"/>
          <w:kern w:val="0"/>
          <w:sz w:val="30"/>
          <w:szCs w:val="30"/>
          <w14:textFill>
            <w14:solidFill>
              <w14:schemeClr w14:val="tx1"/>
            </w14:solidFill>
          </w14:textFill>
        </w:rPr>
        <w:t>制定储能技术学院评价考核制度，建设跨学科、综合交叉的高水平创新团队，汇聚学术声望高、专业理论水平扎实、实践教学经验丰富的精英师资队伍，大力培育储能领域的战略科技人才、科技领军人才，积极争取承担国家级科技项目，大力培养引进优秀青年骨干人才，加强对从事基础性研究、公益性研究的拔尖人才和优秀创新团队的稳定支持。</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3.</w:t>
      </w:r>
      <w:r>
        <w:rPr>
          <w:rFonts w:hint="eastAsia" w:ascii="仿宋" w:hAnsi="仿宋" w:eastAsia="仿宋"/>
          <w:color w:val="000000" w:themeColor="text1"/>
          <w:kern w:val="0"/>
          <w:sz w:val="30"/>
          <w:szCs w:val="30"/>
          <w14:textFill>
            <w14:solidFill>
              <w14:schemeClr w14:val="tx1"/>
            </w14:solidFill>
          </w14:textFill>
        </w:rPr>
        <w:t>面向产业关键核心技术，建设储能技术创新研究平台，加快储能技术的机理和材料创新研究，以攻克储能领域储热</w:t>
      </w:r>
      <w:r>
        <w:rPr>
          <w:rFonts w:ascii="仿宋" w:hAnsi="仿宋" w:eastAsia="仿宋"/>
          <w:color w:val="000000" w:themeColor="text1"/>
          <w:kern w:val="0"/>
          <w:sz w:val="30"/>
          <w:szCs w:val="30"/>
          <w14:textFill>
            <w14:solidFill>
              <w14:schemeClr w14:val="tx1"/>
            </w14:solidFill>
          </w14:textFill>
        </w:rPr>
        <w:t>/储冷、物理储能和化学储能中存在的低容量、低集成度，以及分布式储能等关键科学问题为目标，建设多学科交叉融合的储能技术创新研究平台，重点推进压缩空气储能、化学储能、各类新型电池、燃料电池、相变储能、储氢、相变材料等基础理论研究，强</w:t>
      </w:r>
      <w:r>
        <w:rPr>
          <w:rFonts w:hint="eastAsia" w:ascii="仿宋" w:hAnsi="仿宋" w:eastAsia="仿宋"/>
          <w:color w:val="000000" w:themeColor="text1"/>
          <w:kern w:val="0"/>
          <w:sz w:val="30"/>
          <w:szCs w:val="30"/>
          <w14:textFill>
            <w14:solidFill>
              <w14:schemeClr w14:val="tx1"/>
            </w14:solidFill>
          </w14:textFill>
        </w:rPr>
        <w:t>化储能技术的原始创新能力，为开发高效率、低成本、安全可靠的大规模储能系统提供理论支撑。</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4.面向产业应用发展，建设储能技术应用研究平台，推动储能系统核心关键技术研究应用，聚焦制约和影响储能产业发展的重大技术问题，重点围绕新能源革命带来的能源转换、传输、利用和管理等环节中的挑战，汇聚校企合力，建设校企融合的储能技术应用研究平台，加快可再生能源发电的并网储能技术与系统、大规模集成储能与应用、分布式储能技术及系统优化、储能技术规模化应用及管理等关键核心技术研究，形成新一代储能技术体系并推广应用，支持企业积极投入平台建设，探索开展订单式人才培养</w:t>
      </w:r>
      <w:r>
        <w:rPr>
          <w:rFonts w:hint="eastAsia" w:ascii="仿宋" w:hAnsi="仿宋" w:eastAsia="仿宋"/>
          <w:color w:val="000000" w:themeColor="text1"/>
          <w:kern w:val="0"/>
          <w:sz w:val="30"/>
          <w:szCs w:val="30"/>
          <w14:textFill>
            <w14:solidFill>
              <w14:schemeClr w14:val="tx1"/>
            </w14:solidFill>
          </w14:textFill>
        </w:rPr>
        <w:t>。</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5.建设储能技术产教融合校外实践基地。坚持共建、共享、共赢，创新储能技术产教融合实践基地建设管理机制，形成校企在人才培养方面稳定互惠的合作制度。推动行业企业深度参与人才培养工作，共同完成培养方案和专业课程体系建设，共同开发教学项目。推进学生到企业实习实训制度化、规范化，提高企业职工在岗教育培训覆盖水平和质量</w:t>
      </w:r>
      <w:r>
        <w:rPr>
          <w:rFonts w:hint="eastAsia" w:ascii="仿宋" w:hAnsi="仿宋" w:eastAsia="仿宋"/>
          <w:color w:val="000000" w:themeColor="text1"/>
          <w:kern w:val="0"/>
          <w:sz w:val="30"/>
          <w:szCs w:val="30"/>
          <w14:textFill>
            <w14:solidFill>
              <w14:schemeClr w14:val="tx1"/>
            </w14:solidFill>
          </w14:textFill>
        </w:rPr>
        <w:t>。</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6.推动校企共建“双师型”教学团队。加强校企人才双向交流，加强产教融合师资队伍建设，建立结构合理、专兼结合、相对稳定的“双师型”师资队伍，其中“双师型”教师占专业课教师比例不低于50%，行业企业专家占专业课教师比例不低于20%。落实教师定期到校外实践基地教学、岗位实践和学习制度，每年时间不低于2个月，提高高校教师实践教学能力。探索实施</w:t>
      </w:r>
      <w:r>
        <w:rPr>
          <w:rFonts w:hint="eastAsia" w:ascii="仿宋" w:hAnsi="仿宋" w:eastAsia="仿宋"/>
          <w:color w:val="000000" w:themeColor="text1"/>
          <w:kern w:val="0"/>
          <w:sz w:val="30"/>
          <w:szCs w:val="30"/>
          <w14:textFill>
            <w14:solidFill>
              <w14:schemeClr w14:val="tx1"/>
            </w14:solidFill>
          </w14:textFill>
        </w:rPr>
        <w:t>产业教师（导师）特岗计划，从企业引进实践经验丰富、理论基础扎实的高级专业技术人员充实教师队伍。</w:t>
      </w:r>
    </w:p>
    <w:p>
      <w:pPr>
        <w:widowControl/>
        <w:adjustRightInd w:val="0"/>
        <w:spacing w:line="560" w:lineRule="exact"/>
        <w:ind w:firstLine="643" w:firstLineChars="200"/>
        <w:outlineLvl w:val="3"/>
        <w:rPr>
          <w:rFonts w:ascii="仿宋" w:hAnsi="仿宋" w:eastAsia="仿宋"/>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bookmarkStart w:id="318" w:name="_Hlk84802663"/>
      <w:r>
        <w:rPr>
          <w:rFonts w:ascii="仿宋" w:hAnsi="仿宋" w:eastAsia="仿宋"/>
          <w:color w:val="000000" w:themeColor="text1"/>
          <w:kern w:val="0"/>
          <w:szCs w:val="32"/>
          <w14:textFill>
            <w14:solidFill>
              <w14:schemeClr w14:val="tx1"/>
            </w14:solidFill>
          </w14:textFill>
        </w:rPr>
        <w:t>1.主要依托专业已经列入“</w:t>
      </w:r>
      <w:r>
        <w:rPr>
          <w:rFonts w:hint="eastAsia" w:ascii="仿宋" w:hAnsi="仿宋" w:eastAsia="仿宋"/>
          <w:color w:val="000000" w:themeColor="text1"/>
          <w:kern w:val="0"/>
          <w:szCs w:val="32"/>
          <w14:textFill>
            <w14:solidFill>
              <w14:schemeClr w14:val="tx1"/>
            </w14:solidFill>
          </w14:textFill>
        </w:rPr>
        <w:t>国家级或省级一流专业建设点</w:t>
      </w:r>
      <w:r>
        <w:rPr>
          <w:rFonts w:ascii="仿宋" w:hAnsi="仿宋" w:eastAsia="仿宋"/>
          <w:color w:val="000000" w:themeColor="text1"/>
          <w:kern w:val="0"/>
          <w:szCs w:val="32"/>
          <w14:textFill>
            <w14:solidFill>
              <w14:schemeClr w14:val="tx1"/>
            </w14:solidFill>
          </w14:textFill>
        </w:rPr>
        <w:t>”建设范围</w:t>
      </w:r>
      <w:r>
        <w:rPr>
          <w:rFonts w:hint="eastAsia" w:ascii="仿宋" w:hAnsi="仿宋" w:eastAsia="仿宋"/>
          <w:color w:val="000000" w:themeColor="text1"/>
          <w:kern w:val="0"/>
          <w:szCs w:val="32"/>
          <w14:textFill>
            <w14:solidFill>
              <w14:schemeClr w14:val="tx1"/>
            </w14:solidFill>
          </w14:textFill>
        </w:rPr>
        <w:t>。</w:t>
      </w:r>
    </w:p>
    <w:p>
      <w:pPr>
        <w:widowControl/>
        <w:adjustRightInd w:val="0"/>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2.具有相对稳定的高水平教学团队</w:t>
      </w:r>
      <w:r>
        <w:rPr>
          <w:rFonts w:hint="eastAsia" w:ascii="仿宋" w:hAnsi="仿宋" w:eastAsia="仿宋"/>
          <w:color w:val="000000" w:themeColor="text1"/>
          <w:kern w:val="0"/>
          <w:szCs w:val="32"/>
          <w14:textFill>
            <w14:solidFill>
              <w14:schemeClr w14:val="tx1"/>
            </w14:solidFill>
          </w14:textFill>
        </w:rPr>
        <w:t>和</w:t>
      </w:r>
      <w:r>
        <w:rPr>
          <w:rFonts w:ascii="仿宋" w:hAnsi="仿宋" w:eastAsia="仿宋"/>
          <w:color w:val="000000" w:themeColor="text1"/>
          <w:kern w:val="0"/>
          <w:szCs w:val="32"/>
          <w14:textFill>
            <w14:solidFill>
              <w14:schemeClr w14:val="tx1"/>
            </w14:solidFill>
          </w14:textFill>
        </w:rPr>
        <w:t>相对丰富的教学、科研资源</w:t>
      </w:r>
      <w:r>
        <w:rPr>
          <w:rFonts w:hint="eastAsia" w:ascii="仿宋" w:hAnsi="仿宋" w:eastAsia="仿宋"/>
          <w:color w:val="000000" w:themeColor="text1"/>
          <w:kern w:val="0"/>
          <w:szCs w:val="32"/>
          <w14:textFill>
            <w14:solidFill>
              <w14:schemeClr w14:val="tx1"/>
            </w14:solidFill>
          </w14:textFill>
        </w:rPr>
        <w:t>，</w:t>
      </w:r>
      <w:r>
        <w:rPr>
          <w:rFonts w:ascii="仿宋" w:hAnsi="仿宋" w:eastAsia="仿宋"/>
          <w:color w:val="000000" w:themeColor="text1"/>
          <w:kern w:val="0"/>
          <w:szCs w:val="32"/>
          <w14:textFill>
            <w14:solidFill>
              <w14:schemeClr w14:val="tx1"/>
            </w14:solidFill>
          </w14:textFill>
        </w:rPr>
        <w:t>初步形成理念先进、顺畅运行的管理体系</w:t>
      </w:r>
      <w:r>
        <w:rPr>
          <w:rFonts w:hint="eastAsia" w:ascii="仿宋" w:hAnsi="仿宋" w:eastAsia="仿宋"/>
          <w:color w:val="000000" w:themeColor="text1"/>
          <w:kern w:val="0"/>
          <w:szCs w:val="32"/>
          <w14:textFill>
            <w14:solidFill>
              <w14:schemeClr w14:val="tx1"/>
            </w14:solidFill>
          </w14:textFill>
        </w:rPr>
        <w:t>。</w:t>
      </w:r>
    </w:p>
    <w:p>
      <w:pPr>
        <w:widowControl/>
        <w:adjustRightInd w:val="0"/>
        <w:spacing w:line="560" w:lineRule="exact"/>
        <w:ind w:firstLine="64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3.学校给予发展所需政策扶持</w:t>
      </w:r>
      <w:r>
        <w:rPr>
          <w:rFonts w:hint="eastAsia" w:ascii="仿宋" w:hAnsi="仿宋" w:eastAsia="仿宋"/>
          <w:color w:val="000000" w:themeColor="text1"/>
          <w:kern w:val="0"/>
          <w:szCs w:val="32"/>
          <w14:textFill>
            <w14:solidFill>
              <w14:schemeClr w14:val="tx1"/>
            </w14:solidFill>
          </w14:textFill>
        </w:rPr>
        <w:t>，</w:t>
      </w:r>
      <w:r>
        <w:rPr>
          <w:rFonts w:ascii="仿宋" w:hAnsi="仿宋" w:eastAsia="仿宋"/>
          <w:color w:val="000000" w:themeColor="text1"/>
          <w:kern w:val="0"/>
          <w:szCs w:val="32"/>
          <w14:textFill>
            <w14:solidFill>
              <w14:schemeClr w14:val="tx1"/>
            </w14:solidFill>
          </w14:textFill>
        </w:rPr>
        <w:t>能够提供相对集中、面积充足的物理空间，每年提供稳定的经费支持，用于人员聘任、日常运行。</w:t>
      </w:r>
    </w:p>
    <w:bookmarkEnd w:id="318"/>
    <w:p>
      <w:pPr>
        <w:pStyle w:val="4"/>
        <w:spacing w:before="435" w:beforeLines="100" w:after="0" w:line="560" w:lineRule="exact"/>
        <w:ind w:firstLine="723" w:firstLineChars="200"/>
        <w:rPr>
          <w:rFonts w:ascii="仿宋" w:hAnsi="仿宋" w:eastAsia="仿宋"/>
          <w:sz w:val="36"/>
          <w:szCs w:val="36"/>
        </w:rPr>
      </w:pPr>
      <w:bookmarkStart w:id="319" w:name="_Toc86068921"/>
      <w:r>
        <w:rPr>
          <w:rFonts w:ascii="仿宋" w:hAnsi="仿宋" w:eastAsia="仿宋"/>
          <w:sz w:val="36"/>
          <w:szCs w:val="36"/>
        </w:rPr>
        <w:t>9-6</w:t>
      </w:r>
      <w:r>
        <w:rPr>
          <w:rFonts w:hint="eastAsia" w:ascii="仿宋" w:hAnsi="仿宋" w:eastAsia="仿宋"/>
          <w:sz w:val="36"/>
          <w:szCs w:val="36"/>
        </w:rPr>
        <w:t>特色示范软件学院</w:t>
      </w:r>
      <w:bookmarkEnd w:id="319"/>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聚焦国家软件产业发展重点，围绕十大新兴产业信息化建设和发展需求，紧跟软件工程技术的前沿，在关键基础软件、大型工业软件、行业应用软件、新型平台软件、嵌入式软件等领域，深入研究安徽省经济发展对软件产业的需求，将系统化、严格约束、可量化方法应用于软件开发、运行和维护的全生命周期中，培育建设一批特色化示范性软件学院，探索具有安徽特色的软件人才产教融合培养路径，以改革创新为驱动，培养满足产业发展需求的特色化软件人才，推动关键软件技术突破、软件产业生态构建、国民软件素养提升，培养具有使命感的软件工程高级专业技术人才。</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突出特色，聚焦五大软件。充分发挥办学特长，集中优势力量，聚焦“有限目标”，从关键基础软件、大型工业软件、行业应用软件、新型平台软件、嵌入式软件中选择不超过两个领域作为主攻方向，鼓励优先选择关键基础软件、大型工业软件等短板领域，强化使命驱动，培养满足产业发展需求的特色化软件人才。</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校企合作，深化产教融合。应有稳定的校企合作办学体制，主动对接产业需求，须选取不超过</w:t>
      </w: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家合作企业联合申报。合作企业原则上为相关特色软件领域行业龙头企业。合作企业有意愿参与人才培养工作，每家企业在每个领域选择不超过</w:t>
      </w: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家高校，关键基础软件、大型工业软件领域可适当放宽至</w:t>
      </w: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家，每家企业联合申报的高校总数不超过</w:t>
      </w:r>
      <w:r>
        <w:rPr>
          <w:rFonts w:ascii="仿宋" w:hAnsi="仿宋" w:eastAsia="仿宋"/>
          <w:color w:val="000000" w:themeColor="text1"/>
          <w:kern w:val="0"/>
          <w:szCs w:val="36"/>
          <w14:textFill>
            <w14:solidFill>
              <w14:schemeClr w14:val="tx1"/>
            </w14:solidFill>
          </w14:textFill>
        </w:rPr>
        <w:t>5</w:t>
      </w:r>
      <w:r>
        <w:rPr>
          <w:rFonts w:hint="eastAsia" w:ascii="仿宋" w:hAnsi="仿宋" w:eastAsia="仿宋"/>
          <w:color w:val="000000" w:themeColor="text1"/>
          <w:kern w:val="0"/>
          <w:szCs w:val="36"/>
          <w14:textFill>
            <w14:solidFill>
              <w14:schemeClr w14:val="tx1"/>
            </w14:solidFill>
          </w14:textFill>
        </w:rPr>
        <w:t>家。校企双方要明确每年投入计划，细化联合培养方案。</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深化改革，创新培养模式。以软件产业需求为导向，已在基于产业目标的课程体系建设、资源更新迭代、教育教学方式、人才培养模式等方面开展改革，取得积极成效，并在优秀国产软件进校园、进课堂、进教材、进实训，毕业生流入特色领域比例等方面有明确的目标。同时，具有良好的国际交流氛围，在畅通校企教师互通互聘渠道，打造校企兼备、专兼具备的师资队伍等方面有明确思路和举措。</w:t>
      </w:r>
    </w:p>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4.</w:t>
      </w:r>
      <w:r>
        <w:rPr>
          <w:rFonts w:hint="eastAsia" w:ascii="仿宋" w:hAnsi="仿宋" w:eastAsia="仿宋"/>
          <w:color w:val="000000" w:themeColor="text1"/>
          <w:kern w:val="0"/>
          <w:szCs w:val="36"/>
          <w14:textFill>
            <w14:solidFill>
              <w14:schemeClr w14:val="tx1"/>
            </w14:solidFill>
          </w14:textFill>
        </w:rPr>
        <w:t>加强领导，完善保障体系。充分认识特色化示范性软件学院的重要作用，已成立由校领导任组长的领导小组，为学院建设提供组织支持。能够协调人事、财务、招生等相关政策，统筹利用教育教学改革等各类资源支持学院建设。申报单位和合作企业已取得所在地省级工业和信息化主管部门的支持，积极争取将相关内容纳入地方相关发展规划。</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spacing w:line="560" w:lineRule="exact"/>
        <w:ind w:firstLine="640" w:firstLineChars="200"/>
        <w:rPr>
          <w:rFonts w:ascii="仿宋" w:hAnsi="仿宋" w:eastAsia="仿宋"/>
          <w:kern w:val="0"/>
          <w:szCs w:val="36"/>
        </w:rPr>
      </w:pPr>
      <w:r>
        <w:rPr>
          <w:rFonts w:hint="eastAsia" w:ascii="仿宋" w:hAnsi="仿宋" w:eastAsia="仿宋"/>
          <w:kern w:val="0"/>
          <w:szCs w:val="36"/>
        </w:rPr>
        <w:t>1.</w:t>
      </w:r>
      <w:r>
        <w:rPr>
          <w:rFonts w:hint="eastAsia" w:ascii="仿宋" w:hAnsi="仿宋" w:eastAsia="仿宋"/>
          <w:color w:val="000000" w:themeColor="text1"/>
          <w:kern w:val="0"/>
          <w:szCs w:val="36"/>
          <w14:textFill>
            <w14:solidFill>
              <w14:schemeClr w14:val="tx1"/>
            </w14:solidFill>
          </w14:textFill>
        </w:rPr>
        <w:t>申报高校原则上应为拥有软件工程、计算机科学与技术专业国家级或省级一流本科专业建设点。</w:t>
      </w:r>
    </w:p>
    <w:p>
      <w:pPr>
        <w:widowControl/>
        <w:adjustRightInd w:val="0"/>
        <w:spacing w:line="560" w:lineRule="exact"/>
        <w:ind w:firstLine="640" w:firstLineChars="200"/>
        <w:rPr>
          <w:rFonts w:ascii="仿宋" w:hAnsi="仿宋" w:eastAsia="仿宋"/>
          <w:kern w:val="0"/>
          <w:szCs w:val="32"/>
        </w:rPr>
      </w:pPr>
      <w:r>
        <w:rPr>
          <w:rFonts w:ascii="仿宋" w:hAnsi="仿宋" w:eastAsia="仿宋"/>
          <w:kern w:val="0"/>
          <w:szCs w:val="32"/>
        </w:rPr>
        <w:t>2.</w:t>
      </w:r>
      <w:r>
        <w:rPr>
          <w:rFonts w:hint="eastAsia" w:ascii="仿宋" w:hAnsi="仿宋" w:eastAsia="仿宋"/>
          <w:kern w:val="0"/>
          <w:szCs w:val="32"/>
        </w:rPr>
        <w:t>申报人具备副教授及以上职称或博士学位；</w:t>
      </w:r>
      <w:r>
        <w:rPr>
          <w:rFonts w:ascii="仿宋" w:hAnsi="仿宋" w:eastAsia="仿宋"/>
          <w:kern w:val="0"/>
          <w:szCs w:val="32"/>
        </w:rPr>
        <w:t>具有相对稳定的高水平教学团队</w:t>
      </w:r>
      <w:r>
        <w:rPr>
          <w:rFonts w:hint="eastAsia" w:ascii="仿宋" w:hAnsi="仿宋" w:eastAsia="仿宋"/>
          <w:kern w:val="0"/>
          <w:szCs w:val="32"/>
        </w:rPr>
        <w:t>和</w:t>
      </w:r>
      <w:r>
        <w:rPr>
          <w:rFonts w:ascii="仿宋" w:hAnsi="仿宋" w:eastAsia="仿宋"/>
          <w:kern w:val="0"/>
          <w:szCs w:val="32"/>
        </w:rPr>
        <w:t>相对丰富的教学、科研资源</w:t>
      </w:r>
      <w:r>
        <w:rPr>
          <w:rFonts w:hint="eastAsia" w:ascii="仿宋" w:hAnsi="仿宋" w:eastAsia="仿宋"/>
          <w:kern w:val="0"/>
          <w:szCs w:val="32"/>
        </w:rPr>
        <w:t>，</w:t>
      </w:r>
      <w:r>
        <w:rPr>
          <w:rFonts w:ascii="仿宋" w:hAnsi="仿宋" w:eastAsia="仿宋"/>
          <w:kern w:val="0"/>
          <w:szCs w:val="32"/>
        </w:rPr>
        <w:t>初步形成理念先进、顺畅运行的管理体系</w:t>
      </w:r>
      <w:r>
        <w:rPr>
          <w:rFonts w:hint="eastAsia" w:ascii="仿宋" w:hAnsi="仿宋" w:eastAsia="仿宋"/>
          <w:kern w:val="0"/>
          <w:szCs w:val="32"/>
        </w:rPr>
        <w:t>。</w:t>
      </w:r>
    </w:p>
    <w:p>
      <w:pPr>
        <w:widowControl/>
        <w:adjustRightInd w:val="0"/>
        <w:spacing w:line="560" w:lineRule="exact"/>
        <w:ind w:firstLine="640" w:firstLineChars="200"/>
        <w:rPr>
          <w:rFonts w:ascii="仿宋" w:hAnsi="仿宋" w:eastAsia="仿宋"/>
        </w:rPr>
      </w:pPr>
      <w:r>
        <w:rPr>
          <w:rFonts w:ascii="仿宋" w:hAnsi="仿宋" w:eastAsia="仿宋"/>
          <w:kern w:val="0"/>
          <w:szCs w:val="32"/>
        </w:rPr>
        <w:t>3.学校给予发展所需政策扶持</w:t>
      </w:r>
      <w:r>
        <w:rPr>
          <w:rFonts w:hint="eastAsia" w:ascii="仿宋" w:hAnsi="仿宋" w:eastAsia="仿宋"/>
          <w:kern w:val="0"/>
          <w:szCs w:val="32"/>
        </w:rPr>
        <w:t>，</w:t>
      </w:r>
      <w:r>
        <w:rPr>
          <w:rFonts w:ascii="仿宋" w:hAnsi="仿宋" w:eastAsia="仿宋"/>
          <w:kern w:val="0"/>
          <w:szCs w:val="32"/>
        </w:rPr>
        <w:t>能够提供相对集中、面积充足的物理空间，每年提供稳定的经费支持，用于人员聘任、日常运行。</w:t>
      </w:r>
    </w:p>
    <w:p>
      <w:pPr>
        <w:pStyle w:val="4"/>
        <w:spacing w:before="435" w:beforeLines="100" w:after="0" w:line="560" w:lineRule="exact"/>
        <w:ind w:firstLine="723" w:firstLineChars="200"/>
        <w:rPr>
          <w:rFonts w:ascii="仿宋" w:hAnsi="仿宋" w:eastAsia="仿宋"/>
          <w:sz w:val="36"/>
          <w:szCs w:val="36"/>
        </w:rPr>
      </w:pPr>
      <w:bookmarkStart w:id="320" w:name="_Toc86068922"/>
      <w:r>
        <w:rPr>
          <w:rFonts w:ascii="仿宋" w:hAnsi="仿宋" w:eastAsia="仿宋"/>
          <w:sz w:val="36"/>
          <w:szCs w:val="36"/>
        </w:rPr>
        <w:t>9-7</w:t>
      </w:r>
      <w:r>
        <w:rPr>
          <w:rFonts w:hint="eastAsia" w:ascii="仿宋" w:hAnsi="仿宋" w:eastAsia="仿宋"/>
          <w:sz w:val="36"/>
          <w:szCs w:val="36"/>
        </w:rPr>
        <w:t>智慧农业学院</w:t>
      </w:r>
      <w:bookmarkEnd w:id="320"/>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hint="eastAsia" w:ascii="仿宋" w:hAnsi="仿宋" w:eastAsia="仿宋"/>
          <w:color w:val="000000" w:themeColor="text1"/>
          <w:kern w:val="0"/>
          <w:szCs w:val="32"/>
          <w14:textFill>
            <w14:solidFill>
              <w14:schemeClr w14:val="tx1"/>
            </w14:solidFill>
          </w14:textFill>
        </w:rPr>
        <w:t>以信息和知识为核心要素，通过将互联网、物联网、大数据、云计算、人工智能等现代信息技术与农业深度融合，实现农业信息感知、定量决策、智能控制、精准投入、个性化服务的全新的农业生产方式，培养德智体美劳全面发展，理想信念坚定，能服务安徽省相关区域农业农村现代化发展战略需求，将信息技术、生物技术、现代工程技术、现代经验管理知识与农学有机融合，能胜任现代农业及相关领域的教学科研、产业规划、经营管理、技术服务等工作的高素质创新型复合创新农业人才。</w:t>
      </w:r>
    </w:p>
    <w:p>
      <w:pPr>
        <w:widowControl/>
        <w:adjustRightInd w:val="0"/>
        <w:spacing w:line="560" w:lineRule="exact"/>
        <w:ind w:firstLine="643" w:firstLineChars="200"/>
        <w:outlineLvl w:val="3"/>
        <w:rPr>
          <w:rFonts w:ascii="仿宋" w:hAnsi="仿宋" w:eastAsia="仿宋"/>
          <w:b/>
          <w:color w:val="000000" w:themeColor="text1"/>
          <w:kern w:val="0"/>
          <w:szCs w:val="32"/>
          <w14:textFill>
            <w14:solidFill>
              <w14:schemeClr w14:val="tx1"/>
            </w14:solidFill>
          </w14:textFill>
        </w:rPr>
      </w:pPr>
      <w:r>
        <w:rPr>
          <w:rFonts w:hint="eastAsia" w:ascii="仿宋" w:hAnsi="仿宋" w:eastAsia="仿宋"/>
          <w:b/>
          <w:color w:val="000000" w:themeColor="text1"/>
          <w:kern w:val="0"/>
          <w:szCs w:val="32"/>
          <w14:textFill>
            <w14:solidFill>
              <w14:schemeClr w14:val="tx1"/>
            </w14:solidFill>
          </w14:textFill>
        </w:rPr>
        <w:t>二、建设内容</w:t>
      </w:r>
    </w:p>
    <w:p>
      <w:pPr>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1.</w:t>
      </w:r>
      <w:r>
        <w:rPr>
          <w:rFonts w:hint="eastAsia" w:ascii="仿宋" w:hAnsi="仿宋" w:eastAsia="仿宋"/>
          <w:color w:val="000000" w:themeColor="text1"/>
          <w:kern w:val="0"/>
          <w:szCs w:val="32"/>
          <w14:textFill>
            <w14:solidFill>
              <w14:schemeClr w14:val="tx1"/>
            </w14:solidFill>
          </w14:textFill>
        </w:rPr>
        <w:t>发挥互联网企业和农业信息化企业的核心带动作用，鼓励高校主体、政府社会参与的协同推进机制，形成多元主体共建教育教学模式。</w:t>
      </w:r>
    </w:p>
    <w:p>
      <w:pPr>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2.</w:t>
      </w:r>
      <w:r>
        <w:rPr>
          <w:rFonts w:hint="eastAsia" w:ascii="仿宋" w:hAnsi="仿宋" w:eastAsia="仿宋"/>
          <w:color w:val="000000" w:themeColor="text1"/>
          <w:kern w:val="0"/>
          <w:szCs w:val="32"/>
          <w14:textFill>
            <w14:solidFill>
              <w14:schemeClr w14:val="tx1"/>
            </w14:solidFill>
          </w14:textFill>
        </w:rPr>
        <w:t>推动农业工程学科建设，促进涉农学科、信息技术、人工智能等多学科交叉融合。</w:t>
      </w:r>
    </w:p>
    <w:p>
      <w:pPr>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3.</w:t>
      </w:r>
      <w:r>
        <w:rPr>
          <w:rFonts w:hint="eastAsia" w:ascii="仿宋" w:hAnsi="仿宋" w:eastAsia="仿宋"/>
          <w:color w:val="000000" w:themeColor="text1"/>
          <w:kern w:val="0"/>
          <w:szCs w:val="32"/>
          <w14:textFill>
            <w14:solidFill>
              <w14:schemeClr w14:val="tx1"/>
            </w14:solidFill>
          </w14:textFill>
        </w:rPr>
        <w:t>坚持立德树人、知识传授与价值引领相统一，培养德智体美劳全面发展，将信息技术、生物技术、现代工程技术、现代经验管理知识与农学有机融合的高素质创新型复合创新农业人才。</w:t>
      </w:r>
    </w:p>
    <w:p>
      <w:pPr>
        <w:spacing w:line="560" w:lineRule="exact"/>
        <w:ind w:firstLine="640" w:firstLineChars="200"/>
        <w:rPr>
          <w:rFonts w:ascii="仿宋" w:hAnsi="仿宋" w:eastAsia="仿宋"/>
          <w:color w:val="000000" w:themeColor="text1"/>
          <w:kern w:val="0"/>
          <w:szCs w:val="32"/>
          <w14:textFill>
            <w14:solidFill>
              <w14:schemeClr w14:val="tx1"/>
            </w14:solidFill>
          </w14:textFill>
        </w:rPr>
      </w:pPr>
      <w:r>
        <w:rPr>
          <w:rFonts w:ascii="仿宋" w:hAnsi="仿宋" w:eastAsia="仿宋"/>
          <w:color w:val="000000" w:themeColor="text1"/>
          <w:kern w:val="0"/>
          <w:szCs w:val="32"/>
          <w14:textFill>
            <w14:solidFill>
              <w14:schemeClr w14:val="tx1"/>
            </w14:solidFill>
          </w14:textFill>
        </w:rPr>
        <w:t>4.</w:t>
      </w:r>
      <w:r>
        <w:rPr>
          <w:rFonts w:hint="eastAsia" w:ascii="仿宋" w:hAnsi="仿宋" w:eastAsia="仿宋"/>
          <w:color w:val="000000" w:themeColor="text1"/>
          <w:kern w:val="0"/>
          <w:szCs w:val="32"/>
          <w14:textFill>
            <w14:solidFill>
              <w14:schemeClr w14:val="tx1"/>
            </w14:solidFill>
          </w14:textFill>
        </w:rPr>
        <w:t>坚持学生中心，聚焦学生创新能力、审辩思维、持续发展、沟通合作等核心素养，结合关键核心农业技术问题，探索形成以科技前沿技术为驱动的面向农业技术的人才培养新模式。</w:t>
      </w:r>
    </w:p>
    <w:p>
      <w:pPr>
        <w:widowControl/>
        <w:adjustRightInd w:val="0"/>
        <w:spacing w:line="560" w:lineRule="exact"/>
        <w:ind w:firstLine="643" w:firstLineChars="200"/>
        <w:outlineLvl w:val="3"/>
        <w:rPr>
          <w:rFonts w:ascii="仿宋" w:hAnsi="仿宋" w:eastAsia="仿宋"/>
          <w:b/>
          <w:color w:val="000000" w:themeColor="text1"/>
          <w:kern w:val="0"/>
          <w:szCs w:val="32"/>
          <w14:textFill>
            <w14:solidFill>
              <w14:schemeClr w14:val="tx1"/>
            </w14:solidFill>
          </w14:textFill>
        </w:rPr>
      </w:pPr>
      <w:r>
        <w:rPr>
          <w:rFonts w:hint="eastAsia" w:ascii="仿宋" w:hAnsi="仿宋" w:eastAsia="仿宋"/>
          <w:b/>
          <w:color w:val="000000" w:themeColor="text1"/>
          <w:kern w:val="0"/>
          <w:szCs w:val="32"/>
          <w14:textFill>
            <w14:solidFill>
              <w14:schemeClr w14:val="tx1"/>
            </w14:solidFill>
          </w14:textFill>
        </w:rPr>
        <w:t>三、申报要求</w:t>
      </w:r>
    </w:p>
    <w:p>
      <w:pPr>
        <w:spacing w:line="560" w:lineRule="exact"/>
        <w:ind w:firstLine="640" w:firstLineChars="200"/>
        <w:rPr>
          <w:rFonts w:ascii="仿宋" w:hAnsi="仿宋" w:eastAsia="仿宋"/>
          <w:kern w:val="0"/>
          <w:szCs w:val="32"/>
        </w:rPr>
      </w:pPr>
      <w:r>
        <w:rPr>
          <w:rFonts w:hint="eastAsia" w:ascii="仿宋" w:hAnsi="仿宋" w:eastAsia="仿宋"/>
          <w:kern w:val="0"/>
          <w:szCs w:val="32"/>
        </w:rPr>
        <w:t>1.</w:t>
      </w:r>
      <w:r>
        <w:rPr>
          <w:rFonts w:hint="eastAsia" w:ascii="仿宋" w:hAnsi="仿宋" w:eastAsia="仿宋"/>
          <w:color w:val="000000" w:themeColor="text1"/>
          <w:kern w:val="0"/>
          <w:szCs w:val="32"/>
          <w14:textFill>
            <w14:solidFill>
              <w14:schemeClr w14:val="tx1"/>
            </w14:solidFill>
          </w14:textFill>
        </w:rPr>
        <w:t>申报高校原则上应为涉农本科高校。依托专业列入国家级或省级一流本科专业建设点，优先推荐。</w:t>
      </w:r>
    </w:p>
    <w:p>
      <w:pPr>
        <w:widowControl/>
        <w:adjustRightInd w:val="0"/>
        <w:spacing w:line="560" w:lineRule="exact"/>
        <w:ind w:firstLine="640" w:firstLineChars="200"/>
        <w:rPr>
          <w:rFonts w:ascii="仿宋" w:hAnsi="仿宋" w:eastAsia="仿宋"/>
          <w:kern w:val="0"/>
          <w:szCs w:val="32"/>
        </w:rPr>
      </w:pPr>
      <w:r>
        <w:rPr>
          <w:rFonts w:ascii="仿宋" w:hAnsi="仿宋" w:eastAsia="仿宋"/>
          <w:kern w:val="0"/>
          <w:szCs w:val="32"/>
        </w:rPr>
        <w:t>2.</w:t>
      </w:r>
      <w:r>
        <w:rPr>
          <w:rFonts w:hint="eastAsia" w:ascii="仿宋" w:hAnsi="仿宋" w:eastAsia="仿宋"/>
          <w:kern w:val="0"/>
          <w:szCs w:val="32"/>
        </w:rPr>
        <w:t>申报人具备副教授及以上职称或博士学位；</w:t>
      </w:r>
      <w:r>
        <w:rPr>
          <w:rFonts w:ascii="仿宋" w:hAnsi="仿宋" w:eastAsia="仿宋"/>
          <w:kern w:val="0"/>
          <w:szCs w:val="32"/>
        </w:rPr>
        <w:t>具有相对稳定的高水平教学团队</w:t>
      </w:r>
      <w:r>
        <w:rPr>
          <w:rFonts w:hint="eastAsia" w:ascii="仿宋" w:hAnsi="仿宋" w:eastAsia="仿宋"/>
          <w:kern w:val="0"/>
          <w:szCs w:val="32"/>
        </w:rPr>
        <w:t>和</w:t>
      </w:r>
      <w:r>
        <w:rPr>
          <w:rFonts w:ascii="仿宋" w:hAnsi="仿宋" w:eastAsia="仿宋"/>
          <w:kern w:val="0"/>
          <w:szCs w:val="32"/>
        </w:rPr>
        <w:t>相对丰富的教学、科研资源</w:t>
      </w:r>
      <w:r>
        <w:rPr>
          <w:rFonts w:hint="eastAsia" w:ascii="仿宋" w:hAnsi="仿宋" w:eastAsia="仿宋"/>
          <w:kern w:val="0"/>
          <w:szCs w:val="32"/>
        </w:rPr>
        <w:t>，</w:t>
      </w:r>
      <w:r>
        <w:rPr>
          <w:rFonts w:ascii="仿宋" w:hAnsi="仿宋" w:eastAsia="仿宋"/>
          <w:kern w:val="0"/>
          <w:szCs w:val="32"/>
        </w:rPr>
        <w:t>初步形成理念先进、顺畅运行的管理体系</w:t>
      </w:r>
      <w:r>
        <w:rPr>
          <w:rFonts w:hint="eastAsia" w:ascii="仿宋" w:hAnsi="仿宋" w:eastAsia="仿宋"/>
          <w:kern w:val="0"/>
          <w:szCs w:val="32"/>
        </w:rPr>
        <w:t>。</w:t>
      </w:r>
    </w:p>
    <w:p>
      <w:pPr>
        <w:widowControl/>
        <w:adjustRightInd w:val="0"/>
        <w:spacing w:line="560" w:lineRule="exact"/>
        <w:ind w:firstLine="640" w:firstLineChars="200"/>
        <w:rPr>
          <w:rFonts w:ascii="仿宋" w:hAnsi="仿宋" w:eastAsia="仿宋"/>
          <w:kern w:val="0"/>
          <w:sz w:val="30"/>
          <w:szCs w:val="30"/>
        </w:rPr>
      </w:pPr>
      <w:r>
        <w:rPr>
          <w:rFonts w:ascii="仿宋" w:hAnsi="仿宋" w:eastAsia="仿宋"/>
          <w:kern w:val="0"/>
          <w:szCs w:val="32"/>
        </w:rPr>
        <w:t>3.学校给予发展所需政策扶持</w:t>
      </w:r>
      <w:r>
        <w:rPr>
          <w:rFonts w:hint="eastAsia" w:ascii="仿宋" w:hAnsi="仿宋" w:eastAsia="仿宋"/>
          <w:kern w:val="0"/>
          <w:szCs w:val="32"/>
        </w:rPr>
        <w:t>，</w:t>
      </w:r>
      <w:r>
        <w:rPr>
          <w:rFonts w:ascii="仿宋" w:hAnsi="仿宋" w:eastAsia="仿宋"/>
          <w:kern w:val="0"/>
          <w:szCs w:val="32"/>
        </w:rPr>
        <w:t>能够提供相对集中、面积充足的物理空间，每年提供稳定的经费支持，用于人员聘任、日常运行。</w:t>
      </w:r>
    </w:p>
    <w:p>
      <w:pPr>
        <w:pStyle w:val="4"/>
        <w:spacing w:before="435" w:beforeLines="100" w:after="0" w:line="560" w:lineRule="exact"/>
        <w:ind w:firstLine="723" w:firstLineChars="200"/>
        <w:rPr>
          <w:rFonts w:ascii="仿宋" w:hAnsi="仿宋" w:eastAsia="仿宋"/>
          <w:sz w:val="36"/>
          <w:szCs w:val="36"/>
        </w:rPr>
      </w:pPr>
      <w:bookmarkStart w:id="321" w:name="_Toc86068923"/>
      <w:r>
        <w:rPr>
          <w:rFonts w:ascii="仿宋" w:hAnsi="仿宋" w:eastAsia="仿宋"/>
          <w:sz w:val="36"/>
          <w:szCs w:val="36"/>
        </w:rPr>
        <w:t>9-8</w:t>
      </w:r>
      <w:r>
        <w:rPr>
          <w:rFonts w:hint="eastAsia" w:ascii="仿宋" w:hAnsi="仿宋" w:eastAsia="仿宋"/>
          <w:sz w:val="36"/>
          <w:szCs w:val="36"/>
        </w:rPr>
        <w:t>高水平</w:t>
      </w:r>
      <w:bookmarkStart w:id="322" w:name="_Hlk84804932"/>
      <w:r>
        <w:rPr>
          <w:rFonts w:hint="eastAsia" w:ascii="仿宋" w:hAnsi="仿宋" w:eastAsia="仿宋"/>
          <w:sz w:val="36"/>
          <w:szCs w:val="36"/>
        </w:rPr>
        <w:t>公共卫生学院</w:t>
      </w:r>
      <w:bookmarkEnd w:id="321"/>
      <w:bookmarkEnd w:id="322"/>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widowControl/>
        <w:adjustRightInd w:val="0"/>
        <w:spacing w:line="560" w:lineRule="exact"/>
        <w:ind w:firstLine="65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加强疾控人才队伍建设，建立适应现代化疾控体系的人才培养使用机制，建设一批高水平公共卫生学院，培养能解决公共卫生实际问题的关键领域高层次应用型紧缺人才，为健康中国战略和人才强国战略作出应有贡献。</w:t>
      </w:r>
      <w:r>
        <w:rPr>
          <w:rFonts w:ascii="仿宋" w:hAnsi="仿宋" w:eastAsia="仿宋"/>
          <w:color w:val="000000" w:themeColor="text1"/>
          <w:kern w:val="0"/>
          <w:szCs w:val="36"/>
          <w14:textFill>
            <w14:solidFill>
              <w14:schemeClr w14:val="tx1"/>
            </w14:solidFill>
          </w14:textFill>
        </w:rPr>
        <w:t xml:space="preserve"> </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聚焦“改革公共卫生硕士专业学位人才培养模式”“探索复合型公共卫生人才培养模式”“加强应用型公共卫生博士人才培养”“面向行业开展培训”等重点任务，与我省卫生健康行政部门或疾控中心签订有效合作协议，推动形成医教协同育人机制，探索具有安徽特色、符合公共卫生人才培养规律的新路子，形成可复制、可推广的改革经验，发挥示范引领作用，带动提升我省公共卫生教育水平，进一步增强服务我省公共卫生与健康事业发展的能力。</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1.</w:t>
      </w:r>
      <w:r>
        <w:rPr>
          <w:rFonts w:hint="eastAsia" w:ascii="仿宋" w:hAnsi="仿宋" w:eastAsia="仿宋"/>
          <w:color w:val="000000" w:themeColor="text1"/>
          <w:kern w:val="0"/>
          <w:sz w:val="30"/>
          <w:szCs w:val="30"/>
          <w14:textFill>
            <w14:solidFill>
              <w14:schemeClr w14:val="tx1"/>
            </w14:solidFill>
          </w14:textFill>
        </w:rPr>
        <w:t>主要依托的公共卫生学院或涉医专业，已经列入国家级或省级一流专业建设点。</w:t>
      </w:r>
    </w:p>
    <w:p>
      <w:pPr>
        <w:widowControl/>
        <w:adjustRightInd w:val="0"/>
        <w:spacing w:line="56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2.</w:t>
      </w:r>
      <w:r>
        <w:rPr>
          <w:rFonts w:hint="eastAsia" w:ascii="仿宋" w:hAnsi="仿宋" w:eastAsia="仿宋"/>
          <w:kern w:val="0"/>
          <w:szCs w:val="32"/>
        </w:rPr>
        <w:t>申报人具备副教授及以上职称或博士学位；</w:t>
      </w:r>
      <w:r>
        <w:rPr>
          <w:rFonts w:ascii="仿宋" w:hAnsi="仿宋" w:eastAsia="仿宋"/>
          <w:color w:val="000000" w:themeColor="text1"/>
          <w:kern w:val="0"/>
          <w:sz w:val="30"/>
          <w:szCs w:val="30"/>
          <w14:textFill>
            <w14:solidFill>
              <w14:schemeClr w14:val="tx1"/>
            </w14:solidFill>
          </w14:textFill>
        </w:rPr>
        <w:t>具有相对稳定的高水平教学团队</w:t>
      </w:r>
      <w:r>
        <w:rPr>
          <w:rFonts w:hint="eastAsia" w:ascii="仿宋" w:hAnsi="仿宋" w:eastAsia="仿宋"/>
          <w:color w:val="000000" w:themeColor="text1"/>
          <w:kern w:val="0"/>
          <w:sz w:val="30"/>
          <w:szCs w:val="30"/>
          <w14:textFill>
            <w14:solidFill>
              <w14:schemeClr w14:val="tx1"/>
            </w14:solidFill>
          </w14:textFill>
        </w:rPr>
        <w:t>和</w:t>
      </w:r>
      <w:r>
        <w:rPr>
          <w:rFonts w:ascii="仿宋" w:hAnsi="仿宋" w:eastAsia="仿宋"/>
          <w:color w:val="000000" w:themeColor="text1"/>
          <w:kern w:val="0"/>
          <w:sz w:val="30"/>
          <w:szCs w:val="30"/>
          <w14:textFill>
            <w14:solidFill>
              <w14:schemeClr w14:val="tx1"/>
            </w14:solidFill>
          </w14:textFill>
        </w:rPr>
        <w:t>相对丰富的教学、科研资源</w:t>
      </w:r>
      <w:r>
        <w:rPr>
          <w:rFonts w:hint="eastAsia" w:ascii="仿宋" w:hAnsi="仿宋" w:eastAsia="仿宋"/>
          <w:color w:val="000000" w:themeColor="text1"/>
          <w:kern w:val="0"/>
          <w:sz w:val="30"/>
          <w:szCs w:val="30"/>
          <w14:textFill>
            <w14:solidFill>
              <w14:schemeClr w14:val="tx1"/>
            </w14:solidFill>
          </w14:textFill>
        </w:rPr>
        <w:t>，初步形成理念先进、顺畅运行的管理体系。</w:t>
      </w:r>
    </w:p>
    <w:p>
      <w:pPr>
        <w:pStyle w:val="4"/>
        <w:spacing w:before="435" w:beforeLines="100" w:after="0" w:line="560" w:lineRule="exact"/>
        <w:ind w:firstLine="723" w:firstLineChars="200"/>
        <w:rPr>
          <w:rFonts w:ascii="仿宋" w:hAnsi="仿宋" w:eastAsia="仿宋"/>
          <w:sz w:val="36"/>
          <w:szCs w:val="36"/>
        </w:rPr>
      </w:pPr>
      <w:bookmarkStart w:id="323" w:name="_Toc86068924"/>
      <w:r>
        <w:rPr>
          <w:rFonts w:ascii="仿宋" w:hAnsi="仿宋" w:eastAsia="仿宋"/>
          <w:sz w:val="36"/>
          <w:szCs w:val="36"/>
        </w:rPr>
        <w:t>9-9</w:t>
      </w:r>
      <w:r>
        <w:rPr>
          <w:rFonts w:hint="eastAsia" w:ascii="仿宋" w:hAnsi="仿宋" w:eastAsia="仿宋"/>
          <w:sz w:val="36"/>
          <w:szCs w:val="36"/>
        </w:rPr>
        <w:t>双创学院</w:t>
      </w:r>
      <w:bookmarkEnd w:id="323"/>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一、建设目标</w:t>
      </w:r>
    </w:p>
    <w:p>
      <w:pPr>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hint="eastAsia" w:ascii="仿宋" w:hAnsi="仿宋" w:eastAsia="仿宋"/>
          <w:color w:val="000000" w:themeColor="text1"/>
          <w:kern w:val="0"/>
          <w:szCs w:val="36"/>
          <w14:textFill>
            <w14:solidFill>
              <w14:schemeClr w14:val="tx1"/>
            </w14:solidFill>
          </w14:textFill>
        </w:rPr>
        <w:t>以产业需求带动专业需求，以专业优化促进产业发展，探索优化“院校共生”“产教研融合”的发展模式，开展面向安徽十大新兴产业的产学研合作项目研究，实现产业关键技术与共性技术的新突破。</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二、建设内容</w:t>
      </w:r>
    </w:p>
    <w:p>
      <w:pPr>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1.</w:t>
      </w:r>
      <w:r>
        <w:rPr>
          <w:rFonts w:hint="eastAsia" w:ascii="仿宋" w:hAnsi="仿宋" w:eastAsia="仿宋"/>
          <w:color w:val="000000" w:themeColor="text1"/>
          <w:kern w:val="0"/>
          <w:szCs w:val="36"/>
          <w14:textFill>
            <w14:solidFill>
              <w14:schemeClr w14:val="tx1"/>
            </w14:solidFill>
          </w14:textFill>
        </w:rPr>
        <w:t>坚持立德树人，以一流创新创业教育助力创新驱动发展，激发学生、教师的主动性和积极性，形成创新驱动、思创融合、专创结合、师生共创、技术转化的双创教育特色。</w:t>
      </w:r>
    </w:p>
    <w:p>
      <w:pPr>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2.</w:t>
      </w:r>
      <w:r>
        <w:rPr>
          <w:rFonts w:hint="eastAsia" w:ascii="仿宋" w:hAnsi="仿宋" w:eastAsia="仿宋"/>
          <w:color w:val="000000" w:themeColor="text1"/>
          <w:kern w:val="0"/>
          <w:szCs w:val="36"/>
          <w14:textFill>
            <w14:solidFill>
              <w14:schemeClr w14:val="tx1"/>
            </w14:solidFill>
          </w14:textFill>
        </w:rPr>
        <w:t>形成高等教育助力科技自立自强、支撑区域经济发展新机制，加速科技成果转移转化，推动教育与产业发展的深度融合，促进教育链、人才链、创新链和产业链的精准对接。</w:t>
      </w:r>
    </w:p>
    <w:p>
      <w:pPr>
        <w:spacing w:line="560" w:lineRule="exact"/>
        <w:ind w:firstLine="640" w:firstLineChars="200"/>
        <w:rPr>
          <w:rFonts w:ascii="仿宋" w:hAnsi="仿宋" w:eastAsia="仿宋"/>
          <w:color w:val="000000" w:themeColor="text1"/>
          <w:kern w:val="0"/>
          <w:szCs w:val="36"/>
          <w14:textFill>
            <w14:solidFill>
              <w14:schemeClr w14:val="tx1"/>
            </w14:solidFill>
          </w14:textFill>
        </w:rPr>
      </w:pPr>
      <w:r>
        <w:rPr>
          <w:rFonts w:ascii="仿宋" w:hAnsi="仿宋" w:eastAsia="仿宋"/>
          <w:color w:val="000000" w:themeColor="text1"/>
          <w:kern w:val="0"/>
          <w:szCs w:val="36"/>
          <w14:textFill>
            <w14:solidFill>
              <w14:schemeClr w14:val="tx1"/>
            </w14:solidFill>
          </w14:textFill>
        </w:rPr>
        <w:t>3.</w:t>
      </w:r>
      <w:r>
        <w:rPr>
          <w:rFonts w:hint="eastAsia" w:ascii="仿宋" w:hAnsi="仿宋" w:eastAsia="仿宋"/>
          <w:color w:val="000000" w:themeColor="text1"/>
          <w:kern w:val="0"/>
          <w:szCs w:val="36"/>
          <w14:textFill>
            <w14:solidFill>
              <w14:schemeClr w14:val="tx1"/>
            </w14:solidFill>
          </w14:textFill>
        </w:rPr>
        <w:t>强调知识创新、技术创新和文化创新，培养应用型、创新型、复合型人才，打造成就业创业创新能力提升的培训基地，为创业团队提供各类创业扶持服务，为创新创业项目孵化提供服务保障。</w:t>
      </w:r>
    </w:p>
    <w:p>
      <w:pPr>
        <w:pStyle w:val="14"/>
        <w:shd w:val="clear" w:color="auto" w:fill="FFFFFF"/>
        <w:spacing w:before="0" w:beforeAutospacing="0" w:after="0" w:afterAutospacing="0" w:line="560" w:lineRule="exact"/>
        <w:ind w:firstLine="640" w:firstLineChars="200"/>
        <w:jc w:val="both"/>
        <w:rPr>
          <w:rFonts w:ascii="仿宋" w:hAnsi="仿宋" w:eastAsia="仿宋"/>
          <w:color w:val="000000" w:themeColor="text1"/>
          <w:szCs w:val="36"/>
          <w14:textFill>
            <w14:solidFill>
              <w14:schemeClr w14:val="tx1"/>
            </w14:solidFill>
          </w14:textFill>
        </w:rPr>
      </w:pPr>
      <w:r>
        <w:rPr>
          <w:rFonts w:ascii="仿宋" w:hAnsi="仿宋" w:eastAsia="仿宋"/>
          <w:color w:val="000000" w:themeColor="text1"/>
          <w:sz w:val="32"/>
          <w:szCs w:val="36"/>
          <w14:textFill>
            <w14:solidFill>
              <w14:schemeClr w14:val="tx1"/>
            </w14:solidFill>
          </w14:textFill>
        </w:rPr>
        <w:t>4.</w:t>
      </w:r>
      <w:r>
        <w:rPr>
          <w:rFonts w:hint="eastAsia" w:ascii="仿宋" w:hAnsi="仿宋" w:eastAsia="仿宋"/>
          <w:color w:val="000000" w:themeColor="text1"/>
          <w:sz w:val="32"/>
          <w:szCs w:val="36"/>
          <w14:textFill>
            <w14:solidFill>
              <w14:schemeClr w14:val="tx1"/>
            </w14:solidFill>
          </w14:textFill>
        </w:rPr>
        <w:t>结合政府、产业、社会等资源，建设培养拔尖创新人才的创新创业教育生态系统，形成依托第一课堂的多模式人才培养体系。发挥学科优势，强化“四新”结合，推进以高技术转化为主的双创实践项目。</w:t>
      </w:r>
      <w:r>
        <w:rPr>
          <w:rFonts w:ascii="Calibri" w:hAnsi="Calibri" w:eastAsia="仿宋" w:cs="Calibri"/>
          <w:color w:val="000000" w:themeColor="text1"/>
          <w:sz w:val="32"/>
          <w:szCs w:val="36"/>
          <w14:textFill>
            <w14:solidFill>
              <w14:schemeClr w14:val="tx1"/>
            </w14:solidFill>
          </w14:textFill>
        </w:rPr>
        <w:t>   </w:t>
      </w:r>
    </w:p>
    <w:p>
      <w:pPr>
        <w:widowControl/>
        <w:adjustRightInd w:val="0"/>
        <w:spacing w:line="560" w:lineRule="exact"/>
        <w:ind w:firstLine="643" w:firstLineChars="200"/>
        <w:outlineLvl w:val="3"/>
        <w:rPr>
          <w:rFonts w:ascii="仿宋" w:hAnsi="仿宋" w:eastAsia="仿宋"/>
          <w:b/>
          <w:color w:val="000000" w:themeColor="text1"/>
          <w:kern w:val="0"/>
          <w:szCs w:val="36"/>
          <w14:textFill>
            <w14:solidFill>
              <w14:schemeClr w14:val="tx1"/>
            </w14:solidFill>
          </w14:textFill>
        </w:rPr>
      </w:pPr>
      <w:r>
        <w:rPr>
          <w:rFonts w:hint="eastAsia" w:ascii="仿宋" w:hAnsi="仿宋" w:eastAsia="仿宋"/>
          <w:b/>
          <w:color w:val="000000" w:themeColor="text1"/>
          <w:kern w:val="0"/>
          <w:szCs w:val="36"/>
          <w14:textFill>
            <w14:solidFill>
              <w14:schemeClr w14:val="tx1"/>
            </w14:solidFill>
          </w14:textFill>
        </w:rPr>
        <w:t>三、申报要求</w:t>
      </w:r>
    </w:p>
    <w:p>
      <w:pPr>
        <w:spacing w:line="560" w:lineRule="exact"/>
        <w:ind w:firstLine="640" w:firstLineChars="200"/>
        <w:rPr>
          <w:rFonts w:ascii="仿宋" w:hAnsi="仿宋" w:eastAsia="仿宋"/>
          <w:kern w:val="0"/>
          <w:szCs w:val="36"/>
        </w:rPr>
      </w:pPr>
      <w:r>
        <w:rPr>
          <w:rFonts w:hint="eastAsia" w:ascii="仿宋" w:hAnsi="仿宋" w:eastAsia="仿宋"/>
          <w:kern w:val="0"/>
          <w:szCs w:val="36"/>
        </w:rPr>
        <w:t>1.</w:t>
      </w:r>
      <w:r>
        <w:rPr>
          <w:rFonts w:hint="eastAsia" w:ascii="仿宋" w:hAnsi="仿宋" w:eastAsia="仿宋"/>
          <w:color w:val="000000" w:themeColor="text1"/>
          <w:kern w:val="0"/>
          <w:szCs w:val="36"/>
          <w14:textFill>
            <w14:solidFill>
              <w14:schemeClr w14:val="tx1"/>
            </w14:solidFill>
          </w14:textFill>
        </w:rPr>
        <w:t>申报</w:t>
      </w:r>
      <w:r>
        <w:rPr>
          <w:rFonts w:hint="eastAsia" w:ascii="仿宋" w:hAnsi="仿宋" w:eastAsia="仿宋"/>
          <w:kern w:val="0"/>
          <w:szCs w:val="36"/>
        </w:rPr>
        <w:t>学</w:t>
      </w:r>
      <w:r>
        <w:rPr>
          <w:rFonts w:hint="eastAsia" w:ascii="仿宋" w:hAnsi="仿宋" w:eastAsia="仿宋"/>
          <w:color w:val="000000" w:themeColor="text1"/>
          <w:kern w:val="0"/>
          <w:szCs w:val="36"/>
          <w14:textFill>
            <w14:solidFill>
              <w14:schemeClr w14:val="tx1"/>
            </w14:solidFill>
          </w14:textFill>
        </w:rPr>
        <w:t>校原则上应为拥有大学生创新创业教育中心。</w:t>
      </w:r>
      <w:r>
        <w:rPr>
          <w:rFonts w:hint="eastAsia" w:ascii="仿宋" w:hAnsi="仿宋" w:eastAsia="仿宋"/>
          <w:kern w:val="0"/>
          <w:szCs w:val="32"/>
        </w:rPr>
        <w:t>双创实践教育中心具有独立运行的场地，主体面积不少于1000平方米，校内总面积不少于2000平方米。</w:t>
      </w:r>
    </w:p>
    <w:p>
      <w:pPr>
        <w:widowControl/>
        <w:adjustRightInd w:val="0"/>
        <w:spacing w:line="560" w:lineRule="exact"/>
        <w:ind w:firstLine="640" w:firstLineChars="200"/>
        <w:rPr>
          <w:rFonts w:ascii="仿宋" w:hAnsi="仿宋" w:eastAsia="仿宋"/>
          <w:kern w:val="0"/>
          <w:szCs w:val="32"/>
        </w:rPr>
      </w:pPr>
      <w:r>
        <w:rPr>
          <w:rFonts w:ascii="仿宋" w:hAnsi="仿宋" w:eastAsia="仿宋"/>
          <w:kern w:val="0"/>
          <w:szCs w:val="32"/>
        </w:rPr>
        <w:t>2</w:t>
      </w:r>
      <w:r>
        <w:rPr>
          <w:rFonts w:hint="eastAsia" w:ascii="仿宋" w:hAnsi="仿宋" w:eastAsia="仿宋"/>
          <w:kern w:val="0"/>
          <w:szCs w:val="32"/>
        </w:rPr>
        <w:t>.申报人具备副教授及以上职称或博士学位；</w:t>
      </w:r>
      <w:r>
        <w:rPr>
          <w:rFonts w:ascii="仿宋" w:hAnsi="仿宋" w:eastAsia="仿宋"/>
          <w:kern w:val="0"/>
          <w:szCs w:val="32"/>
        </w:rPr>
        <w:t>具有相对稳定的高水平教学团队</w:t>
      </w:r>
      <w:r>
        <w:rPr>
          <w:rFonts w:hint="eastAsia" w:ascii="仿宋" w:hAnsi="仿宋" w:eastAsia="仿宋"/>
          <w:kern w:val="0"/>
          <w:szCs w:val="32"/>
        </w:rPr>
        <w:t>和</w:t>
      </w:r>
      <w:r>
        <w:rPr>
          <w:rFonts w:ascii="仿宋" w:hAnsi="仿宋" w:eastAsia="仿宋"/>
          <w:kern w:val="0"/>
          <w:szCs w:val="32"/>
        </w:rPr>
        <w:t>相对丰富的教学、科研资源</w:t>
      </w:r>
      <w:r>
        <w:rPr>
          <w:rFonts w:hint="eastAsia" w:ascii="仿宋" w:hAnsi="仿宋" w:eastAsia="仿宋"/>
          <w:kern w:val="0"/>
          <w:szCs w:val="32"/>
        </w:rPr>
        <w:t>，</w:t>
      </w:r>
      <w:r>
        <w:rPr>
          <w:rFonts w:ascii="仿宋" w:hAnsi="仿宋" w:eastAsia="仿宋"/>
          <w:kern w:val="0"/>
          <w:szCs w:val="32"/>
        </w:rPr>
        <w:t>初步形成理念先进、顺畅运行的管理体系</w:t>
      </w:r>
      <w:r>
        <w:rPr>
          <w:rFonts w:hint="eastAsia" w:ascii="仿宋" w:hAnsi="仿宋" w:eastAsia="仿宋"/>
          <w:kern w:val="0"/>
          <w:szCs w:val="32"/>
        </w:rPr>
        <w:t>。</w:t>
      </w:r>
    </w:p>
    <w:p>
      <w:pPr>
        <w:widowControl/>
        <w:adjustRightInd w:val="0"/>
        <w:spacing w:line="560" w:lineRule="exact"/>
        <w:ind w:firstLine="640" w:firstLineChars="200"/>
        <w:rPr>
          <w:rFonts w:ascii="仿宋" w:hAnsi="仿宋" w:eastAsia="仿宋"/>
          <w:kern w:val="0"/>
          <w:szCs w:val="32"/>
        </w:rPr>
      </w:pPr>
      <w:r>
        <w:rPr>
          <w:rFonts w:ascii="仿宋" w:hAnsi="仿宋" w:eastAsia="仿宋"/>
          <w:kern w:val="0"/>
          <w:szCs w:val="32"/>
        </w:rPr>
        <w:t>3</w:t>
      </w:r>
      <w:r>
        <w:rPr>
          <w:rFonts w:hint="eastAsia" w:ascii="仿宋" w:hAnsi="仿宋" w:eastAsia="仿宋"/>
          <w:kern w:val="0"/>
          <w:szCs w:val="32"/>
        </w:rPr>
        <w:t>.申报学校应形成创新创业教育工作协同机制，在教务部门或独立设置的创新创业学院牵头下，在学工、就业、团委、科技、科技园等多部门协同下开展创新创业教育，明确专人负责。</w:t>
      </w:r>
    </w:p>
    <w:p>
      <w:pPr>
        <w:widowControl/>
        <w:adjustRightInd w:val="0"/>
        <w:spacing w:line="560" w:lineRule="exact"/>
        <w:ind w:firstLine="640" w:firstLineChars="200"/>
        <w:rPr>
          <w:rFonts w:ascii="仿宋" w:hAnsi="仿宋" w:eastAsia="仿宋"/>
        </w:rPr>
      </w:pPr>
      <w:r>
        <w:rPr>
          <w:rFonts w:ascii="仿宋" w:hAnsi="仿宋" w:eastAsia="仿宋"/>
          <w:kern w:val="0"/>
          <w:szCs w:val="32"/>
        </w:rPr>
        <w:t>4.</w:t>
      </w:r>
      <w:r>
        <w:rPr>
          <w:rFonts w:hint="eastAsia" w:ascii="仿宋" w:hAnsi="仿宋" w:eastAsia="仿宋"/>
          <w:kern w:val="0"/>
          <w:szCs w:val="32"/>
        </w:rPr>
        <w:t>申报</w:t>
      </w:r>
      <w:r>
        <w:rPr>
          <w:rFonts w:ascii="仿宋" w:hAnsi="仿宋" w:eastAsia="仿宋"/>
          <w:kern w:val="0"/>
          <w:szCs w:val="32"/>
        </w:rPr>
        <w:t>学校给予发展所需政策扶持</w:t>
      </w:r>
      <w:r>
        <w:rPr>
          <w:rFonts w:hint="eastAsia" w:ascii="仿宋" w:hAnsi="仿宋" w:eastAsia="仿宋"/>
          <w:kern w:val="0"/>
          <w:szCs w:val="32"/>
        </w:rPr>
        <w:t>，</w:t>
      </w:r>
      <w:r>
        <w:rPr>
          <w:rFonts w:ascii="仿宋" w:hAnsi="仿宋" w:eastAsia="仿宋"/>
          <w:kern w:val="0"/>
          <w:szCs w:val="32"/>
        </w:rPr>
        <w:t>能够提供相对集中、面积充足的物理空间，每年提供稳定的经费支持，用于人员聘任、日常运行。</w:t>
      </w:r>
    </w:p>
    <w:bookmarkEnd w:id="188"/>
    <w:bookmarkEnd w:id="189"/>
    <w:bookmarkEnd w:id="256"/>
    <w:bookmarkEnd w:id="257"/>
    <w:bookmarkEnd w:id="258"/>
    <w:bookmarkEnd w:id="259"/>
    <w:p>
      <w:pPr>
        <w:widowControl/>
        <w:adjustRightInd w:val="0"/>
        <w:spacing w:line="560" w:lineRule="exact"/>
        <w:ind w:firstLine="640" w:firstLineChars="200"/>
        <w:rPr>
          <w:rFonts w:ascii="仿宋" w:hAnsi="仿宋" w:eastAsia="仿宋"/>
          <w:color w:val="000000" w:themeColor="text1"/>
          <w:kern w:val="0"/>
          <w:szCs w:val="36"/>
          <w14:textFill>
            <w14:solidFill>
              <w14:schemeClr w14:val="tx1"/>
            </w14:solidFill>
          </w14:textFill>
        </w:rPr>
      </w:pPr>
    </w:p>
    <w:sectPr>
      <w:footerReference r:id="rId9" w:type="first"/>
      <w:footerReference r:id="rId7" w:type="default"/>
      <w:footerReference r:id="rId8" w:type="even"/>
      <w:pgSz w:w="11900" w:h="16840"/>
      <w:pgMar w:top="1440" w:right="1800" w:bottom="1440" w:left="1800" w:header="851" w:footer="662"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 w:hAnsi="仿宋" w:eastAsia="仿宋"/>
        <w:sz w:val="22"/>
      </w:rPr>
    </w:pPr>
    <w:r>
      <w:rPr>
        <w:rFonts w:ascii="仿宋" w:hAnsi="仿宋" w:eastAsia="仿宋"/>
        <w:sz w:val="22"/>
      </w:rPr>
      <w:fldChar w:fldCharType="begin"/>
    </w:r>
    <w:r>
      <w:rPr>
        <w:rFonts w:ascii="仿宋" w:hAnsi="仿宋" w:eastAsia="仿宋"/>
        <w:sz w:val="22"/>
      </w:rPr>
      <w:instrText xml:space="preserve">PAGE   \* MERGEFORMAT</w:instrText>
    </w:r>
    <w:r>
      <w:rPr>
        <w:rFonts w:ascii="仿宋" w:hAnsi="仿宋" w:eastAsia="仿宋"/>
        <w:sz w:val="22"/>
      </w:rPr>
      <w:fldChar w:fldCharType="separate"/>
    </w:r>
    <w:r>
      <w:rPr>
        <w:rFonts w:ascii="仿宋" w:hAnsi="仿宋" w:eastAsia="仿宋"/>
        <w:sz w:val="22"/>
        <w:lang w:val="zh-CN"/>
      </w:rPr>
      <w:t>3</w:t>
    </w:r>
    <w:r>
      <w:rPr>
        <w:rFonts w:ascii="仿宋" w:hAnsi="仿宋" w:eastAsia="仿宋"/>
        <w:sz w:val="22"/>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IV</w:t>
    </w:r>
    <w:r>
      <w:rPr>
        <w:rFonts w:ascii="仿宋" w:hAnsi="仿宋" w:eastAsia="仿宋"/>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118093"/>
      <w:docPartObj>
        <w:docPartGallery w:val="AutoText"/>
      </w:docPartObj>
    </w:sdtPr>
    <w:sdtEndPr>
      <w:rPr>
        <w:sz w:val="21"/>
        <w:szCs w:val="21"/>
      </w:rPr>
    </w:sdtEndPr>
    <w:sdtContent>
      <w:p>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900710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578308"/>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 w:hAnsi="仿宋" w:eastAsia="仿宋"/>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64465"/>
              <wp:effectExtent l="0" t="0" r="0" b="0"/>
              <wp:wrapNone/>
              <wp:docPr id="1" name="文本框 1028"/>
              <wp:cNvGraphicFramePr/>
              <a:graphic xmlns:a="http://schemas.openxmlformats.org/drawingml/2006/main">
                <a:graphicData uri="http://schemas.microsoft.com/office/word/2010/wordprocessingShape">
                  <wps:wsp>
                    <wps:cNvSpPr txBox="1">
                      <a:spLocks noChangeArrowheads="1"/>
                    </wps:cNvSpPr>
                    <wps:spPr bwMode="auto">
                      <a:xfrm>
                        <a:off x="0" y="0"/>
                        <a:ext cx="64135" cy="164465"/>
                      </a:xfrm>
                      <a:prstGeom prst="rect">
                        <a:avLst/>
                      </a:prstGeom>
                      <a:noFill/>
                      <a:ln>
                        <a:noFill/>
                      </a:ln>
                    </wps:spPr>
                    <wps:txbx>
                      <w:txbxContent>
                        <w:p>
                          <w:pPr>
                            <w:pStyle w:val="10"/>
                            <w:jc w:val="center"/>
                          </w:pPr>
                          <w:r>
                            <w:rPr>
                              <w:rFonts w:ascii="仿宋" w:hAnsi="仿宋" w:eastAsia="仿宋"/>
                              <w:sz w:val="20"/>
                            </w:rPr>
                            <w:fldChar w:fldCharType="begin"/>
                          </w:r>
                          <w:r>
                            <w:rPr>
                              <w:rFonts w:ascii="仿宋" w:hAnsi="仿宋" w:eastAsia="仿宋"/>
                              <w:sz w:val="20"/>
                            </w:rPr>
                            <w:instrText xml:space="preserve">PAGE   \* MERGEFORMAT</w:instrText>
                          </w:r>
                          <w:r>
                            <w:rPr>
                              <w:rFonts w:ascii="仿宋" w:hAnsi="仿宋" w:eastAsia="仿宋"/>
                              <w:sz w:val="20"/>
                            </w:rPr>
                            <w:fldChar w:fldCharType="separate"/>
                          </w:r>
                          <w:r>
                            <w:rPr>
                              <w:rFonts w:ascii="仿宋" w:hAnsi="仿宋" w:eastAsia="仿宋"/>
                              <w:sz w:val="20"/>
                              <w:lang w:val="zh-CN"/>
                            </w:rPr>
                            <w:t>1</w:t>
                          </w:r>
                          <w:r>
                            <w:rPr>
                              <w:rFonts w:ascii="仿宋" w:hAnsi="仿宋" w:eastAsia="仿宋"/>
                              <w:sz w:val="20"/>
                            </w:rPr>
                            <w:fldChar w:fldCharType="end"/>
                          </w:r>
                        </w:p>
                      </w:txbxContent>
                    </wps:txbx>
                    <wps:bodyPr rot="0" vert="horz" wrap="none" lIns="0" tIns="0" rIns="0" bIns="0" anchor="t" anchorCtr="0" upright="1">
                      <a:spAutoFit/>
                    </wps:bodyPr>
                  </wps:wsp>
                </a:graphicData>
              </a:graphic>
            </wp:anchor>
          </w:drawing>
        </mc:Choice>
        <mc:Fallback>
          <w:pict>
            <v:shape id="文本框 1028" o:spid="_x0000_s1026" o:spt="202" type="#_x0000_t202" style="position:absolute;left:0pt;margin-top:0pt;height:12.95pt;width:5.05pt;mso-position-horizontal:center;mso-position-horizontal-relative:margin;mso-wrap-style:none;z-index:251659264;mso-width-relative:page;mso-height-relative:page;" filled="f" stroked="f" coordsize="21600,21600" o:gfxdata="UEsDBAoAAAAAAIdO4kAAAAAAAAAAAAAAAAAEAAAAZHJzL1BLAwQUAAAACACHTuJAIssm+9AAAAAD&#10;AQAADwAAAGRycy9kb3ducmV2LnhtbE2PwU7DMBBE70j8g7VI3KidSkAJ2fRQiQs3CkLi5sbbOMJe&#10;R7abJn+PywUuK41mNPO22c7eiYliGgIjVCsFgrgLZuAe4eP95W4DImXNRrvAhLBQgm17fdXo2oQz&#10;v9G0z70oJZxqjWBzHmspU2fJ67QKI3HxjiF6nYuMvTRRn0u5d3Kt1IP0euCyYPVIO0vd9/7kER7n&#10;z0Bjoh19Hacu2mHZuNcF8famUs8gMs35LwwX/IIObWE6hBObJBxCeST/3ounKhAHhPX9E8i2kf/Z&#10;2x9QSwMEFAAAAAgAh07iQD/7hvUMAgAABAQAAA4AAABkcnMvZTJvRG9jLnhtbK1TzY7TMBC+I/EO&#10;lu80zdKtVlHT1bJVEdLyIy08gOs4jUXsscZuk/IA8AacuHDnufocjJ2mLMtlD1yssT3+5vu+GS+u&#10;e9OyvUKvwZY8n0w5U1ZCpe225J8+rl9cceaDsJVowaqSH5Tn18vnzxadK9QFNNBWChmBWF90ruRN&#10;CK7IMi8bZYSfgFOWLmtAIwJtcZtVKDpCN212MZ3Osw6wcghSeU+nq+GSnxDxKYBQ11qqFcidUTYM&#10;qKhaEUiSb7TzfJnY1rWS4X1dexVYW3JSGtJKRSjexDVbLkSxReEaLU8UxFMoPNJkhLZU9Ay1EkGw&#10;Hep/oIyWCB7qMJFgskFIcoRU5NNH3tw3wqmkhaz27my6/3+w8t3+AzJd0SRwZoWhhh+/fzv++HX8&#10;+ZXl04ur6FDnfEGJ945SQ/8K+pgd1Xp3B/KzZxZuG2G36gYRukaJihjm8WX24OmA4yPIpnsLFZUS&#10;uwAJqK/RREAyhBE6dedw7o7qA5N0OJ/lLy85k3STz2ez+WUqIIrxrUMfXiswLAYlR+p9whb7Ox8i&#10;F1GMKbGUhbVu29T/1v51QInxJHGPdAfiod/0Jy82UB1IBcIwTvSZKGgAv3DW0SiV3NLP4ax9Y8mH&#10;OHVjgGOwGQNhJT0seeBsCG/DMJ07h3rbEO7o9A15tdZJSDR14HBiScOR9J0GOU7fw33K+vN5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ssm+9AAAAADAQAADwAAAAAAAAABACAAAAAiAAAAZHJz&#10;L2Rvd25yZXYueG1sUEsBAhQAFAAAAAgAh07iQD/7hvUMAgAABAQAAA4AAAAAAAAAAQAgAAAAHwEA&#10;AGRycy9lMm9Eb2MueG1sUEsFBgAAAAAGAAYAWQEAAJ0FAAAAAA==&#10;">
              <v:fill on="f" focussize="0,0"/>
              <v:stroke on="f"/>
              <v:imagedata o:title=""/>
              <o:lock v:ext="edit" aspectratio="f"/>
              <v:textbox inset="0mm,0mm,0mm,0mm" style="mso-fit-shape-to-text:t;">
                <w:txbxContent>
                  <w:p>
                    <w:pPr>
                      <w:pStyle w:val="10"/>
                      <w:jc w:val="center"/>
                    </w:pPr>
                    <w:r>
                      <w:rPr>
                        <w:rFonts w:ascii="仿宋" w:hAnsi="仿宋" w:eastAsia="仿宋"/>
                        <w:sz w:val="20"/>
                      </w:rPr>
                      <w:fldChar w:fldCharType="begin"/>
                    </w:r>
                    <w:r>
                      <w:rPr>
                        <w:rFonts w:ascii="仿宋" w:hAnsi="仿宋" w:eastAsia="仿宋"/>
                        <w:sz w:val="20"/>
                      </w:rPr>
                      <w:instrText xml:space="preserve">PAGE   \* MERGEFORMAT</w:instrText>
                    </w:r>
                    <w:r>
                      <w:rPr>
                        <w:rFonts w:ascii="仿宋" w:hAnsi="仿宋" w:eastAsia="仿宋"/>
                        <w:sz w:val="20"/>
                      </w:rPr>
                      <w:fldChar w:fldCharType="separate"/>
                    </w:r>
                    <w:r>
                      <w:rPr>
                        <w:rFonts w:ascii="仿宋" w:hAnsi="仿宋" w:eastAsia="仿宋"/>
                        <w:sz w:val="20"/>
                        <w:lang w:val="zh-CN"/>
                      </w:rPr>
                      <w:t>1</w:t>
                    </w:r>
                    <w:r>
                      <w:rPr>
                        <w:rFonts w:ascii="仿宋" w:hAnsi="仿宋" w:eastAsia="仿宋"/>
                        <w:sz w:val="20"/>
                      </w:rP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C1A"/>
    <w:multiLevelType w:val="multilevel"/>
    <w:tmpl w:val="3F1B2C1A"/>
    <w:lvl w:ilvl="0" w:tentative="0">
      <w:start w:val="2"/>
      <w:numFmt w:val="decimalEnclosedCircle"/>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EE"/>
    <w:rsid w:val="0000026F"/>
    <w:rsid w:val="000007DF"/>
    <w:rsid w:val="00013D78"/>
    <w:rsid w:val="000245FE"/>
    <w:rsid w:val="00033D08"/>
    <w:rsid w:val="00036238"/>
    <w:rsid w:val="00041F9B"/>
    <w:rsid w:val="00042B8B"/>
    <w:rsid w:val="00045083"/>
    <w:rsid w:val="0004589E"/>
    <w:rsid w:val="00055DFE"/>
    <w:rsid w:val="00063120"/>
    <w:rsid w:val="000649F1"/>
    <w:rsid w:val="000665C5"/>
    <w:rsid w:val="00074D29"/>
    <w:rsid w:val="00080400"/>
    <w:rsid w:val="0008247A"/>
    <w:rsid w:val="0009402C"/>
    <w:rsid w:val="00095897"/>
    <w:rsid w:val="000B0EF9"/>
    <w:rsid w:val="000B0F65"/>
    <w:rsid w:val="000B107F"/>
    <w:rsid w:val="000B2545"/>
    <w:rsid w:val="000B3AAC"/>
    <w:rsid w:val="000B3E56"/>
    <w:rsid w:val="000C2A2A"/>
    <w:rsid w:val="000D3642"/>
    <w:rsid w:val="000E553D"/>
    <w:rsid w:val="000F2B16"/>
    <w:rsid w:val="000F32FF"/>
    <w:rsid w:val="0010092C"/>
    <w:rsid w:val="001009EC"/>
    <w:rsid w:val="0010333B"/>
    <w:rsid w:val="001047F9"/>
    <w:rsid w:val="00106759"/>
    <w:rsid w:val="00106CB9"/>
    <w:rsid w:val="00123021"/>
    <w:rsid w:val="001261CC"/>
    <w:rsid w:val="001437B2"/>
    <w:rsid w:val="0014484B"/>
    <w:rsid w:val="00146453"/>
    <w:rsid w:val="00147086"/>
    <w:rsid w:val="00153A15"/>
    <w:rsid w:val="00156593"/>
    <w:rsid w:val="001628F2"/>
    <w:rsid w:val="0017687D"/>
    <w:rsid w:val="001815AA"/>
    <w:rsid w:val="00193BE9"/>
    <w:rsid w:val="001947A0"/>
    <w:rsid w:val="001950F8"/>
    <w:rsid w:val="00196409"/>
    <w:rsid w:val="001A179D"/>
    <w:rsid w:val="001B1775"/>
    <w:rsid w:val="001B3996"/>
    <w:rsid w:val="001B5C79"/>
    <w:rsid w:val="001C0B8F"/>
    <w:rsid w:val="001C2C9A"/>
    <w:rsid w:val="001D0217"/>
    <w:rsid w:val="001D07E1"/>
    <w:rsid w:val="001E158A"/>
    <w:rsid w:val="001E4DA2"/>
    <w:rsid w:val="001F56CA"/>
    <w:rsid w:val="001F7EAE"/>
    <w:rsid w:val="0021357E"/>
    <w:rsid w:val="002149F3"/>
    <w:rsid w:val="00222068"/>
    <w:rsid w:val="0022574F"/>
    <w:rsid w:val="00225A03"/>
    <w:rsid w:val="00234BA3"/>
    <w:rsid w:val="00240049"/>
    <w:rsid w:val="002410DD"/>
    <w:rsid w:val="00242F5C"/>
    <w:rsid w:val="002444EC"/>
    <w:rsid w:val="00252C5C"/>
    <w:rsid w:val="00253754"/>
    <w:rsid w:val="00270DAB"/>
    <w:rsid w:val="00285202"/>
    <w:rsid w:val="002860AC"/>
    <w:rsid w:val="002A483A"/>
    <w:rsid w:val="002B04A2"/>
    <w:rsid w:val="002B0634"/>
    <w:rsid w:val="002B55D0"/>
    <w:rsid w:val="002C6819"/>
    <w:rsid w:val="002D1D15"/>
    <w:rsid w:val="002D4AF7"/>
    <w:rsid w:val="002D5209"/>
    <w:rsid w:val="002D6442"/>
    <w:rsid w:val="002D70E1"/>
    <w:rsid w:val="002E04D7"/>
    <w:rsid w:val="002E35ED"/>
    <w:rsid w:val="002E4C22"/>
    <w:rsid w:val="002F2C4D"/>
    <w:rsid w:val="002F5006"/>
    <w:rsid w:val="002F6F37"/>
    <w:rsid w:val="003027B0"/>
    <w:rsid w:val="00305632"/>
    <w:rsid w:val="00310BAD"/>
    <w:rsid w:val="0032327D"/>
    <w:rsid w:val="00324BF7"/>
    <w:rsid w:val="00331FAF"/>
    <w:rsid w:val="00332162"/>
    <w:rsid w:val="00354E1A"/>
    <w:rsid w:val="00355885"/>
    <w:rsid w:val="00355AED"/>
    <w:rsid w:val="00360072"/>
    <w:rsid w:val="00360DED"/>
    <w:rsid w:val="00370F5B"/>
    <w:rsid w:val="00372BD5"/>
    <w:rsid w:val="00374D98"/>
    <w:rsid w:val="003759CF"/>
    <w:rsid w:val="00377F6C"/>
    <w:rsid w:val="00384066"/>
    <w:rsid w:val="00385DD5"/>
    <w:rsid w:val="0039412E"/>
    <w:rsid w:val="003A1DEF"/>
    <w:rsid w:val="003A2FF1"/>
    <w:rsid w:val="003A5BD8"/>
    <w:rsid w:val="003B330C"/>
    <w:rsid w:val="003B70F1"/>
    <w:rsid w:val="003C4B25"/>
    <w:rsid w:val="003C7EC8"/>
    <w:rsid w:val="003C7F11"/>
    <w:rsid w:val="003D0262"/>
    <w:rsid w:val="003D1E4A"/>
    <w:rsid w:val="003D23B4"/>
    <w:rsid w:val="003D4CA2"/>
    <w:rsid w:val="003D5232"/>
    <w:rsid w:val="003D71C2"/>
    <w:rsid w:val="003E07D8"/>
    <w:rsid w:val="00403D4B"/>
    <w:rsid w:val="004065BD"/>
    <w:rsid w:val="004077B7"/>
    <w:rsid w:val="00410BBE"/>
    <w:rsid w:val="00413AAD"/>
    <w:rsid w:val="00425C88"/>
    <w:rsid w:val="0043131D"/>
    <w:rsid w:val="00431EB0"/>
    <w:rsid w:val="00435661"/>
    <w:rsid w:val="004515B7"/>
    <w:rsid w:val="004529AB"/>
    <w:rsid w:val="00455D13"/>
    <w:rsid w:val="00463326"/>
    <w:rsid w:val="00464D12"/>
    <w:rsid w:val="0047116F"/>
    <w:rsid w:val="00472109"/>
    <w:rsid w:val="00473045"/>
    <w:rsid w:val="00485483"/>
    <w:rsid w:val="004871B0"/>
    <w:rsid w:val="00495DEF"/>
    <w:rsid w:val="00496493"/>
    <w:rsid w:val="004A0E45"/>
    <w:rsid w:val="004A1F3A"/>
    <w:rsid w:val="004A51FC"/>
    <w:rsid w:val="004C11FE"/>
    <w:rsid w:val="004C51AE"/>
    <w:rsid w:val="004D5107"/>
    <w:rsid w:val="004D523A"/>
    <w:rsid w:val="004D72E5"/>
    <w:rsid w:val="004D73E1"/>
    <w:rsid w:val="004E0C24"/>
    <w:rsid w:val="004E1571"/>
    <w:rsid w:val="004E2B80"/>
    <w:rsid w:val="004F4CAE"/>
    <w:rsid w:val="004F63E2"/>
    <w:rsid w:val="00501342"/>
    <w:rsid w:val="005030C7"/>
    <w:rsid w:val="00504A27"/>
    <w:rsid w:val="0051106B"/>
    <w:rsid w:val="005157F2"/>
    <w:rsid w:val="00521C5D"/>
    <w:rsid w:val="0052262A"/>
    <w:rsid w:val="005253F2"/>
    <w:rsid w:val="005305FB"/>
    <w:rsid w:val="00535299"/>
    <w:rsid w:val="00535743"/>
    <w:rsid w:val="0054368E"/>
    <w:rsid w:val="005477DC"/>
    <w:rsid w:val="005503F3"/>
    <w:rsid w:val="00550C5A"/>
    <w:rsid w:val="00551160"/>
    <w:rsid w:val="00556075"/>
    <w:rsid w:val="00556AB3"/>
    <w:rsid w:val="00561DDC"/>
    <w:rsid w:val="00565E6C"/>
    <w:rsid w:val="005663F6"/>
    <w:rsid w:val="0057466A"/>
    <w:rsid w:val="00582879"/>
    <w:rsid w:val="005879C0"/>
    <w:rsid w:val="00597920"/>
    <w:rsid w:val="005A48DA"/>
    <w:rsid w:val="005A6302"/>
    <w:rsid w:val="005B4750"/>
    <w:rsid w:val="005B59E7"/>
    <w:rsid w:val="005E0C3D"/>
    <w:rsid w:val="005E242B"/>
    <w:rsid w:val="005E346B"/>
    <w:rsid w:val="005F33B5"/>
    <w:rsid w:val="0060257F"/>
    <w:rsid w:val="00604C11"/>
    <w:rsid w:val="00615C49"/>
    <w:rsid w:val="00620F07"/>
    <w:rsid w:val="00625281"/>
    <w:rsid w:val="00627911"/>
    <w:rsid w:val="00631820"/>
    <w:rsid w:val="0063253D"/>
    <w:rsid w:val="00633C50"/>
    <w:rsid w:val="006352CD"/>
    <w:rsid w:val="006435B9"/>
    <w:rsid w:val="00662DCE"/>
    <w:rsid w:val="006637EA"/>
    <w:rsid w:val="006738CE"/>
    <w:rsid w:val="00690638"/>
    <w:rsid w:val="006930C6"/>
    <w:rsid w:val="00694D90"/>
    <w:rsid w:val="00696173"/>
    <w:rsid w:val="0069726A"/>
    <w:rsid w:val="00697714"/>
    <w:rsid w:val="006A0327"/>
    <w:rsid w:val="006A6A52"/>
    <w:rsid w:val="006A7A9D"/>
    <w:rsid w:val="006B0333"/>
    <w:rsid w:val="006B5199"/>
    <w:rsid w:val="006C2852"/>
    <w:rsid w:val="006C4CB5"/>
    <w:rsid w:val="006D5FC9"/>
    <w:rsid w:val="006E3B38"/>
    <w:rsid w:val="006E76EB"/>
    <w:rsid w:val="006F1311"/>
    <w:rsid w:val="006F13E9"/>
    <w:rsid w:val="006F1C37"/>
    <w:rsid w:val="006F6041"/>
    <w:rsid w:val="007105A6"/>
    <w:rsid w:val="00711067"/>
    <w:rsid w:val="00730F35"/>
    <w:rsid w:val="00733D33"/>
    <w:rsid w:val="007377FF"/>
    <w:rsid w:val="00745DA3"/>
    <w:rsid w:val="00747236"/>
    <w:rsid w:val="00753D2D"/>
    <w:rsid w:val="00755A14"/>
    <w:rsid w:val="00756329"/>
    <w:rsid w:val="00766C45"/>
    <w:rsid w:val="00767AD0"/>
    <w:rsid w:val="0077070A"/>
    <w:rsid w:val="007707B0"/>
    <w:rsid w:val="00772AC7"/>
    <w:rsid w:val="007740C2"/>
    <w:rsid w:val="00787398"/>
    <w:rsid w:val="00787E91"/>
    <w:rsid w:val="00791E73"/>
    <w:rsid w:val="0079358F"/>
    <w:rsid w:val="0079610F"/>
    <w:rsid w:val="00797F3F"/>
    <w:rsid w:val="007A0BE8"/>
    <w:rsid w:val="007A2567"/>
    <w:rsid w:val="007B0D2C"/>
    <w:rsid w:val="007B229F"/>
    <w:rsid w:val="007B4BC0"/>
    <w:rsid w:val="007C460B"/>
    <w:rsid w:val="007D0245"/>
    <w:rsid w:val="007D209D"/>
    <w:rsid w:val="007D6105"/>
    <w:rsid w:val="007E0657"/>
    <w:rsid w:val="007E15B7"/>
    <w:rsid w:val="007E6426"/>
    <w:rsid w:val="007E67DE"/>
    <w:rsid w:val="00801108"/>
    <w:rsid w:val="00803453"/>
    <w:rsid w:val="00803693"/>
    <w:rsid w:val="00806006"/>
    <w:rsid w:val="008071E1"/>
    <w:rsid w:val="0081164A"/>
    <w:rsid w:val="00812BB9"/>
    <w:rsid w:val="008156C7"/>
    <w:rsid w:val="00816C0C"/>
    <w:rsid w:val="0083670A"/>
    <w:rsid w:val="008539CE"/>
    <w:rsid w:val="008548FE"/>
    <w:rsid w:val="00860AE6"/>
    <w:rsid w:val="008640D0"/>
    <w:rsid w:val="008644A1"/>
    <w:rsid w:val="00866330"/>
    <w:rsid w:val="008664D7"/>
    <w:rsid w:val="00866D89"/>
    <w:rsid w:val="00871598"/>
    <w:rsid w:val="00872278"/>
    <w:rsid w:val="00874DEB"/>
    <w:rsid w:val="00880C1E"/>
    <w:rsid w:val="00882557"/>
    <w:rsid w:val="00886635"/>
    <w:rsid w:val="008953C8"/>
    <w:rsid w:val="00897644"/>
    <w:rsid w:val="008A15F5"/>
    <w:rsid w:val="008A2933"/>
    <w:rsid w:val="008A3EEB"/>
    <w:rsid w:val="008A53A4"/>
    <w:rsid w:val="008B1450"/>
    <w:rsid w:val="008B57BB"/>
    <w:rsid w:val="008B6A5F"/>
    <w:rsid w:val="008C193B"/>
    <w:rsid w:val="008C4313"/>
    <w:rsid w:val="008D0845"/>
    <w:rsid w:val="008D47F7"/>
    <w:rsid w:val="008D48CC"/>
    <w:rsid w:val="008D7403"/>
    <w:rsid w:val="008F30F4"/>
    <w:rsid w:val="00904631"/>
    <w:rsid w:val="00910FD4"/>
    <w:rsid w:val="00913A54"/>
    <w:rsid w:val="00914E95"/>
    <w:rsid w:val="0092525A"/>
    <w:rsid w:val="009260EE"/>
    <w:rsid w:val="009268D1"/>
    <w:rsid w:val="00927840"/>
    <w:rsid w:val="00930268"/>
    <w:rsid w:val="0093234A"/>
    <w:rsid w:val="009376C6"/>
    <w:rsid w:val="009452A5"/>
    <w:rsid w:val="0094546E"/>
    <w:rsid w:val="00950A0F"/>
    <w:rsid w:val="00971B86"/>
    <w:rsid w:val="00972B34"/>
    <w:rsid w:val="00973633"/>
    <w:rsid w:val="0097724F"/>
    <w:rsid w:val="0098012D"/>
    <w:rsid w:val="0098020C"/>
    <w:rsid w:val="009815C4"/>
    <w:rsid w:val="0098228C"/>
    <w:rsid w:val="00983ECB"/>
    <w:rsid w:val="00985CC9"/>
    <w:rsid w:val="00993721"/>
    <w:rsid w:val="00995747"/>
    <w:rsid w:val="00996D16"/>
    <w:rsid w:val="009A42FD"/>
    <w:rsid w:val="009A4676"/>
    <w:rsid w:val="009B1330"/>
    <w:rsid w:val="009B34ED"/>
    <w:rsid w:val="009C0DB7"/>
    <w:rsid w:val="009C14E7"/>
    <w:rsid w:val="009C247E"/>
    <w:rsid w:val="009C62E0"/>
    <w:rsid w:val="009D1EBA"/>
    <w:rsid w:val="009E284B"/>
    <w:rsid w:val="009E5C2B"/>
    <w:rsid w:val="009F0600"/>
    <w:rsid w:val="009F27DF"/>
    <w:rsid w:val="009F6772"/>
    <w:rsid w:val="009F6E21"/>
    <w:rsid w:val="00A018C0"/>
    <w:rsid w:val="00A03803"/>
    <w:rsid w:val="00A12F50"/>
    <w:rsid w:val="00A23DEE"/>
    <w:rsid w:val="00A30C9D"/>
    <w:rsid w:val="00A310D1"/>
    <w:rsid w:val="00A3466E"/>
    <w:rsid w:val="00A37EF3"/>
    <w:rsid w:val="00A4385C"/>
    <w:rsid w:val="00A5324B"/>
    <w:rsid w:val="00A533A7"/>
    <w:rsid w:val="00A56682"/>
    <w:rsid w:val="00A578EA"/>
    <w:rsid w:val="00A65D30"/>
    <w:rsid w:val="00A72364"/>
    <w:rsid w:val="00A728EA"/>
    <w:rsid w:val="00A87956"/>
    <w:rsid w:val="00A95212"/>
    <w:rsid w:val="00A96AD3"/>
    <w:rsid w:val="00AA1F55"/>
    <w:rsid w:val="00AA25CA"/>
    <w:rsid w:val="00AA2FA0"/>
    <w:rsid w:val="00AA5BEE"/>
    <w:rsid w:val="00AC0705"/>
    <w:rsid w:val="00AD5FE8"/>
    <w:rsid w:val="00AD7DE1"/>
    <w:rsid w:val="00AE23A7"/>
    <w:rsid w:val="00AE328F"/>
    <w:rsid w:val="00AF2A49"/>
    <w:rsid w:val="00AF3EEA"/>
    <w:rsid w:val="00B01028"/>
    <w:rsid w:val="00B0239C"/>
    <w:rsid w:val="00B13146"/>
    <w:rsid w:val="00B15E13"/>
    <w:rsid w:val="00B17F44"/>
    <w:rsid w:val="00B21C93"/>
    <w:rsid w:val="00B26CCC"/>
    <w:rsid w:val="00B31F2C"/>
    <w:rsid w:val="00B32B6F"/>
    <w:rsid w:val="00B464C3"/>
    <w:rsid w:val="00B60E00"/>
    <w:rsid w:val="00B61EE6"/>
    <w:rsid w:val="00B75E05"/>
    <w:rsid w:val="00B803BD"/>
    <w:rsid w:val="00B80EB7"/>
    <w:rsid w:val="00B8183F"/>
    <w:rsid w:val="00B82720"/>
    <w:rsid w:val="00B843D2"/>
    <w:rsid w:val="00B86215"/>
    <w:rsid w:val="00B92D89"/>
    <w:rsid w:val="00B9495E"/>
    <w:rsid w:val="00B95906"/>
    <w:rsid w:val="00BA1655"/>
    <w:rsid w:val="00BA3A89"/>
    <w:rsid w:val="00BC1258"/>
    <w:rsid w:val="00BC2FFC"/>
    <w:rsid w:val="00BC58FD"/>
    <w:rsid w:val="00BC5ABB"/>
    <w:rsid w:val="00BC7C2F"/>
    <w:rsid w:val="00BD02BA"/>
    <w:rsid w:val="00BE5F26"/>
    <w:rsid w:val="00BF0B4C"/>
    <w:rsid w:val="00C05144"/>
    <w:rsid w:val="00C16134"/>
    <w:rsid w:val="00C17C6C"/>
    <w:rsid w:val="00C2033A"/>
    <w:rsid w:val="00C24C80"/>
    <w:rsid w:val="00C30873"/>
    <w:rsid w:val="00C308A8"/>
    <w:rsid w:val="00C3401C"/>
    <w:rsid w:val="00C40037"/>
    <w:rsid w:val="00C41DEF"/>
    <w:rsid w:val="00C42765"/>
    <w:rsid w:val="00C549C4"/>
    <w:rsid w:val="00C556CE"/>
    <w:rsid w:val="00C6311D"/>
    <w:rsid w:val="00C67843"/>
    <w:rsid w:val="00C70B0B"/>
    <w:rsid w:val="00C73943"/>
    <w:rsid w:val="00C924D4"/>
    <w:rsid w:val="00CA2405"/>
    <w:rsid w:val="00CA3114"/>
    <w:rsid w:val="00CA4A33"/>
    <w:rsid w:val="00CB0CB2"/>
    <w:rsid w:val="00CC598D"/>
    <w:rsid w:val="00CD5281"/>
    <w:rsid w:val="00CD5F21"/>
    <w:rsid w:val="00CE04DB"/>
    <w:rsid w:val="00CE17F4"/>
    <w:rsid w:val="00CE394A"/>
    <w:rsid w:val="00D06C97"/>
    <w:rsid w:val="00D23A2F"/>
    <w:rsid w:val="00D34414"/>
    <w:rsid w:val="00D34FA4"/>
    <w:rsid w:val="00D37C0C"/>
    <w:rsid w:val="00D418E3"/>
    <w:rsid w:val="00D53224"/>
    <w:rsid w:val="00D548FD"/>
    <w:rsid w:val="00D60E15"/>
    <w:rsid w:val="00D61C5B"/>
    <w:rsid w:val="00D629F6"/>
    <w:rsid w:val="00D67245"/>
    <w:rsid w:val="00D77EE0"/>
    <w:rsid w:val="00D8733A"/>
    <w:rsid w:val="00D97546"/>
    <w:rsid w:val="00D9770A"/>
    <w:rsid w:val="00DA16B4"/>
    <w:rsid w:val="00DA3107"/>
    <w:rsid w:val="00DB1692"/>
    <w:rsid w:val="00DB28F8"/>
    <w:rsid w:val="00DB3B22"/>
    <w:rsid w:val="00DB7767"/>
    <w:rsid w:val="00DC0F08"/>
    <w:rsid w:val="00DC1111"/>
    <w:rsid w:val="00DC25B5"/>
    <w:rsid w:val="00DC5083"/>
    <w:rsid w:val="00DD0124"/>
    <w:rsid w:val="00DE432D"/>
    <w:rsid w:val="00DE6C7E"/>
    <w:rsid w:val="00DF64C8"/>
    <w:rsid w:val="00DF75EA"/>
    <w:rsid w:val="00E01989"/>
    <w:rsid w:val="00E04169"/>
    <w:rsid w:val="00E1233D"/>
    <w:rsid w:val="00E16AAD"/>
    <w:rsid w:val="00E24786"/>
    <w:rsid w:val="00E24F60"/>
    <w:rsid w:val="00E46065"/>
    <w:rsid w:val="00E558D4"/>
    <w:rsid w:val="00E56ADE"/>
    <w:rsid w:val="00E6304B"/>
    <w:rsid w:val="00E655F2"/>
    <w:rsid w:val="00E71541"/>
    <w:rsid w:val="00E71DA6"/>
    <w:rsid w:val="00E72207"/>
    <w:rsid w:val="00E7530D"/>
    <w:rsid w:val="00E802A9"/>
    <w:rsid w:val="00E8043B"/>
    <w:rsid w:val="00E9311D"/>
    <w:rsid w:val="00E94397"/>
    <w:rsid w:val="00E95341"/>
    <w:rsid w:val="00EC1154"/>
    <w:rsid w:val="00EC1B9B"/>
    <w:rsid w:val="00ED1026"/>
    <w:rsid w:val="00ED1B39"/>
    <w:rsid w:val="00ED357F"/>
    <w:rsid w:val="00ED4823"/>
    <w:rsid w:val="00EE218A"/>
    <w:rsid w:val="00EE4C32"/>
    <w:rsid w:val="00EE5CDF"/>
    <w:rsid w:val="00EE75B1"/>
    <w:rsid w:val="00EF3DE1"/>
    <w:rsid w:val="00EF68E4"/>
    <w:rsid w:val="00EF721A"/>
    <w:rsid w:val="00F118DA"/>
    <w:rsid w:val="00F11E52"/>
    <w:rsid w:val="00F15DD0"/>
    <w:rsid w:val="00F24170"/>
    <w:rsid w:val="00F276AC"/>
    <w:rsid w:val="00F302B5"/>
    <w:rsid w:val="00F314C4"/>
    <w:rsid w:val="00F36810"/>
    <w:rsid w:val="00F36B48"/>
    <w:rsid w:val="00F4099C"/>
    <w:rsid w:val="00F44CA1"/>
    <w:rsid w:val="00F52D28"/>
    <w:rsid w:val="00F54115"/>
    <w:rsid w:val="00F55F5F"/>
    <w:rsid w:val="00F565A6"/>
    <w:rsid w:val="00F56DF3"/>
    <w:rsid w:val="00F60DAA"/>
    <w:rsid w:val="00F60FA5"/>
    <w:rsid w:val="00F61CC6"/>
    <w:rsid w:val="00F64661"/>
    <w:rsid w:val="00F654B0"/>
    <w:rsid w:val="00F66AF1"/>
    <w:rsid w:val="00F71D67"/>
    <w:rsid w:val="00F73595"/>
    <w:rsid w:val="00F7441E"/>
    <w:rsid w:val="00F80497"/>
    <w:rsid w:val="00F80CB4"/>
    <w:rsid w:val="00F84F45"/>
    <w:rsid w:val="00F94575"/>
    <w:rsid w:val="00F95066"/>
    <w:rsid w:val="00F964C1"/>
    <w:rsid w:val="00FA5FE8"/>
    <w:rsid w:val="00FB0528"/>
    <w:rsid w:val="00FB42E6"/>
    <w:rsid w:val="00FB46E2"/>
    <w:rsid w:val="00FB58EB"/>
    <w:rsid w:val="00FC05D1"/>
    <w:rsid w:val="00FC1CB6"/>
    <w:rsid w:val="00FC21BC"/>
    <w:rsid w:val="00FC24A5"/>
    <w:rsid w:val="00FD0D83"/>
    <w:rsid w:val="00FE2783"/>
    <w:rsid w:val="00FE7E7F"/>
    <w:rsid w:val="00FF718A"/>
    <w:rsid w:val="01257762"/>
    <w:rsid w:val="01877A16"/>
    <w:rsid w:val="020C3512"/>
    <w:rsid w:val="027F7978"/>
    <w:rsid w:val="02B249B9"/>
    <w:rsid w:val="033C3403"/>
    <w:rsid w:val="03854705"/>
    <w:rsid w:val="03FF1780"/>
    <w:rsid w:val="04931D9A"/>
    <w:rsid w:val="04961F01"/>
    <w:rsid w:val="04A72B99"/>
    <w:rsid w:val="04AD2F8F"/>
    <w:rsid w:val="04B4079E"/>
    <w:rsid w:val="05092E2C"/>
    <w:rsid w:val="052A7CD0"/>
    <w:rsid w:val="05602A16"/>
    <w:rsid w:val="05615114"/>
    <w:rsid w:val="05C51E13"/>
    <w:rsid w:val="06C938A4"/>
    <w:rsid w:val="06E20E61"/>
    <w:rsid w:val="075153A9"/>
    <w:rsid w:val="07611166"/>
    <w:rsid w:val="07A130B0"/>
    <w:rsid w:val="07A703BF"/>
    <w:rsid w:val="081066A1"/>
    <w:rsid w:val="08354357"/>
    <w:rsid w:val="085B05B7"/>
    <w:rsid w:val="08AF695F"/>
    <w:rsid w:val="08C33090"/>
    <w:rsid w:val="095A7289"/>
    <w:rsid w:val="09694581"/>
    <w:rsid w:val="097457BF"/>
    <w:rsid w:val="09AC6869"/>
    <w:rsid w:val="09DD77BC"/>
    <w:rsid w:val="0A00721D"/>
    <w:rsid w:val="0A063D47"/>
    <w:rsid w:val="0A1C4049"/>
    <w:rsid w:val="0B16329B"/>
    <w:rsid w:val="0B296B82"/>
    <w:rsid w:val="0BF2272B"/>
    <w:rsid w:val="0BFA6D82"/>
    <w:rsid w:val="0CA251D2"/>
    <w:rsid w:val="0D24507E"/>
    <w:rsid w:val="0D266250"/>
    <w:rsid w:val="0DCD22DA"/>
    <w:rsid w:val="0E6A7621"/>
    <w:rsid w:val="0E70078E"/>
    <w:rsid w:val="0EAC4230"/>
    <w:rsid w:val="0FB66927"/>
    <w:rsid w:val="0FEB347A"/>
    <w:rsid w:val="105C6CD8"/>
    <w:rsid w:val="11080AB5"/>
    <w:rsid w:val="11793E4F"/>
    <w:rsid w:val="12DA2813"/>
    <w:rsid w:val="12ED06A7"/>
    <w:rsid w:val="13362EAA"/>
    <w:rsid w:val="14543118"/>
    <w:rsid w:val="14805DBB"/>
    <w:rsid w:val="14A74BC2"/>
    <w:rsid w:val="14E464DC"/>
    <w:rsid w:val="14F34723"/>
    <w:rsid w:val="15713822"/>
    <w:rsid w:val="16340151"/>
    <w:rsid w:val="1647365B"/>
    <w:rsid w:val="16653965"/>
    <w:rsid w:val="16932631"/>
    <w:rsid w:val="16CE4C14"/>
    <w:rsid w:val="17883366"/>
    <w:rsid w:val="17E81B26"/>
    <w:rsid w:val="180E7208"/>
    <w:rsid w:val="184831A2"/>
    <w:rsid w:val="18915452"/>
    <w:rsid w:val="18BA2E1D"/>
    <w:rsid w:val="18D3243F"/>
    <w:rsid w:val="190510CC"/>
    <w:rsid w:val="19492496"/>
    <w:rsid w:val="19770EC0"/>
    <w:rsid w:val="1A70563D"/>
    <w:rsid w:val="1BDB5075"/>
    <w:rsid w:val="1C596BCD"/>
    <w:rsid w:val="1C662F7E"/>
    <w:rsid w:val="1CCA5F76"/>
    <w:rsid w:val="1D2D1E98"/>
    <w:rsid w:val="1D631DB4"/>
    <w:rsid w:val="1D986A5D"/>
    <w:rsid w:val="1EF53DA3"/>
    <w:rsid w:val="1F0C310F"/>
    <w:rsid w:val="1F6A7DF8"/>
    <w:rsid w:val="20D305C5"/>
    <w:rsid w:val="20E420EA"/>
    <w:rsid w:val="219F5F45"/>
    <w:rsid w:val="21A05360"/>
    <w:rsid w:val="21B803A0"/>
    <w:rsid w:val="21C65ADF"/>
    <w:rsid w:val="222F393E"/>
    <w:rsid w:val="22A92EEA"/>
    <w:rsid w:val="22C91297"/>
    <w:rsid w:val="22ED55DE"/>
    <w:rsid w:val="22F37D11"/>
    <w:rsid w:val="239149FA"/>
    <w:rsid w:val="23B11D1D"/>
    <w:rsid w:val="24893692"/>
    <w:rsid w:val="252D2CAB"/>
    <w:rsid w:val="25891CCD"/>
    <w:rsid w:val="25F70BC6"/>
    <w:rsid w:val="262D60CB"/>
    <w:rsid w:val="26843DC9"/>
    <w:rsid w:val="26C80B00"/>
    <w:rsid w:val="2792647A"/>
    <w:rsid w:val="27B209C1"/>
    <w:rsid w:val="27B521A7"/>
    <w:rsid w:val="287445D0"/>
    <w:rsid w:val="289D2F7A"/>
    <w:rsid w:val="28AA20E8"/>
    <w:rsid w:val="29243010"/>
    <w:rsid w:val="29962738"/>
    <w:rsid w:val="29D1181C"/>
    <w:rsid w:val="29E963A9"/>
    <w:rsid w:val="2A9F5576"/>
    <w:rsid w:val="2AB438E8"/>
    <w:rsid w:val="2AE842E2"/>
    <w:rsid w:val="2B4C63EA"/>
    <w:rsid w:val="2B5F6AD3"/>
    <w:rsid w:val="2C3F5D35"/>
    <w:rsid w:val="2C553DF1"/>
    <w:rsid w:val="2CB27428"/>
    <w:rsid w:val="2D1A78E8"/>
    <w:rsid w:val="2D2C0968"/>
    <w:rsid w:val="2D427DA8"/>
    <w:rsid w:val="2D596B03"/>
    <w:rsid w:val="2DDB0BA3"/>
    <w:rsid w:val="2DFE40D9"/>
    <w:rsid w:val="2E0A2C10"/>
    <w:rsid w:val="2E312023"/>
    <w:rsid w:val="2F3B679E"/>
    <w:rsid w:val="2F91082E"/>
    <w:rsid w:val="305E0AF9"/>
    <w:rsid w:val="31AF565B"/>
    <w:rsid w:val="32591B6E"/>
    <w:rsid w:val="32FA20C7"/>
    <w:rsid w:val="344B1066"/>
    <w:rsid w:val="34E341F2"/>
    <w:rsid w:val="3517559F"/>
    <w:rsid w:val="351F6340"/>
    <w:rsid w:val="352F651C"/>
    <w:rsid w:val="3593143D"/>
    <w:rsid w:val="35E431CD"/>
    <w:rsid w:val="361E5C72"/>
    <w:rsid w:val="36DB4740"/>
    <w:rsid w:val="36E460AB"/>
    <w:rsid w:val="37384110"/>
    <w:rsid w:val="377240FA"/>
    <w:rsid w:val="38200A91"/>
    <w:rsid w:val="383B3D87"/>
    <w:rsid w:val="39035C04"/>
    <w:rsid w:val="397374B8"/>
    <w:rsid w:val="39B0235B"/>
    <w:rsid w:val="3A782F83"/>
    <w:rsid w:val="3AB3405B"/>
    <w:rsid w:val="3AC96382"/>
    <w:rsid w:val="3AFD5C9C"/>
    <w:rsid w:val="3BEC50B9"/>
    <w:rsid w:val="3BED24E8"/>
    <w:rsid w:val="3C235160"/>
    <w:rsid w:val="3CD32A12"/>
    <w:rsid w:val="3CDB5353"/>
    <w:rsid w:val="3CEA6F3B"/>
    <w:rsid w:val="3D06084F"/>
    <w:rsid w:val="3D0626A1"/>
    <w:rsid w:val="3DA115DD"/>
    <w:rsid w:val="3E633181"/>
    <w:rsid w:val="3E8F2061"/>
    <w:rsid w:val="3E93136B"/>
    <w:rsid w:val="3EA35FFC"/>
    <w:rsid w:val="3EAD2883"/>
    <w:rsid w:val="3EC83A19"/>
    <w:rsid w:val="3F117E56"/>
    <w:rsid w:val="3F943997"/>
    <w:rsid w:val="3F9935FD"/>
    <w:rsid w:val="3FD76B7A"/>
    <w:rsid w:val="3FFC74EF"/>
    <w:rsid w:val="40591ABF"/>
    <w:rsid w:val="40A87E77"/>
    <w:rsid w:val="40D56324"/>
    <w:rsid w:val="41F11352"/>
    <w:rsid w:val="42170AC0"/>
    <w:rsid w:val="42612BD7"/>
    <w:rsid w:val="436004B5"/>
    <w:rsid w:val="43A24235"/>
    <w:rsid w:val="44326B80"/>
    <w:rsid w:val="44AF7424"/>
    <w:rsid w:val="450A290F"/>
    <w:rsid w:val="453D6A79"/>
    <w:rsid w:val="45EA4D6E"/>
    <w:rsid w:val="46280A8C"/>
    <w:rsid w:val="4630340C"/>
    <w:rsid w:val="46BA25BA"/>
    <w:rsid w:val="46DD46A4"/>
    <w:rsid w:val="47066124"/>
    <w:rsid w:val="4757646B"/>
    <w:rsid w:val="476B4EBB"/>
    <w:rsid w:val="47810A1B"/>
    <w:rsid w:val="47AD104A"/>
    <w:rsid w:val="47CB13A8"/>
    <w:rsid w:val="481E5870"/>
    <w:rsid w:val="49751AB3"/>
    <w:rsid w:val="49D857EF"/>
    <w:rsid w:val="49E05E15"/>
    <w:rsid w:val="4A0B747D"/>
    <w:rsid w:val="4A433823"/>
    <w:rsid w:val="4B0572DD"/>
    <w:rsid w:val="4CDD78E0"/>
    <w:rsid w:val="4CEC134F"/>
    <w:rsid w:val="4DC31AF7"/>
    <w:rsid w:val="4E7D1D1A"/>
    <w:rsid w:val="4ED21250"/>
    <w:rsid w:val="4EFA0331"/>
    <w:rsid w:val="4F2F2C41"/>
    <w:rsid w:val="4F337EFB"/>
    <w:rsid w:val="4F9B6FF3"/>
    <w:rsid w:val="4FA10B1F"/>
    <w:rsid w:val="4FB236EC"/>
    <w:rsid w:val="4FCC0736"/>
    <w:rsid w:val="5067274F"/>
    <w:rsid w:val="50811DA5"/>
    <w:rsid w:val="50B20D0F"/>
    <w:rsid w:val="50D66E35"/>
    <w:rsid w:val="510A758F"/>
    <w:rsid w:val="512571C6"/>
    <w:rsid w:val="517B20DB"/>
    <w:rsid w:val="519A56EC"/>
    <w:rsid w:val="520B7F73"/>
    <w:rsid w:val="533D3377"/>
    <w:rsid w:val="53800D75"/>
    <w:rsid w:val="53A24EB7"/>
    <w:rsid w:val="53BA774F"/>
    <w:rsid w:val="545A699D"/>
    <w:rsid w:val="547E202C"/>
    <w:rsid w:val="54BC3329"/>
    <w:rsid w:val="550315F8"/>
    <w:rsid w:val="558066DF"/>
    <w:rsid w:val="56AC175D"/>
    <w:rsid w:val="56DB4661"/>
    <w:rsid w:val="56E81A08"/>
    <w:rsid w:val="570F2765"/>
    <w:rsid w:val="575E3FF1"/>
    <w:rsid w:val="579040D4"/>
    <w:rsid w:val="58226AB9"/>
    <w:rsid w:val="58AF08E9"/>
    <w:rsid w:val="596752A5"/>
    <w:rsid w:val="5A174EE2"/>
    <w:rsid w:val="5A8F4A49"/>
    <w:rsid w:val="5B923433"/>
    <w:rsid w:val="5BE239B9"/>
    <w:rsid w:val="5CAC48BD"/>
    <w:rsid w:val="5CBC6658"/>
    <w:rsid w:val="5CD81F4A"/>
    <w:rsid w:val="5D2239B4"/>
    <w:rsid w:val="5D4F1596"/>
    <w:rsid w:val="5D735B5A"/>
    <w:rsid w:val="5D7C3781"/>
    <w:rsid w:val="5DF205F2"/>
    <w:rsid w:val="5E2B2907"/>
    <w:rsid w:val="5E781804"/>
    <w:rsid w:val="5F503096"/>
    <w:rsid w:val="5FC90698"/>
    <w:rsid w:val="60594876"/>
    <w:rsid w:val="607166AB"/>
    <w:rsid w:val="614E7F54"/>
    <w:rsid w:val="622D3E35"/>
    <w:rsid w:val="6231366F"/>
    <w:rsid w:val="62E32DCA"/>
    <w:rsid w:val="62E96AEB"/>
    <w:rsid w:val="633A197B"/>
    <w:rsid w:val="635B4CEC"/>
    <w:rsid w:val="636474E0"/>
    <w:rsid w:val="64B67654"/>
    <w:rsid w:val="65D45694"/>
    <w:rsid w:val="65DE4FDB"/>
    <w:rsid w:val="663B09D8"/>
    <w:rsid w:val="6649675B"/>
    <w:rsid w:val="66570D1D"/>
    <w:rsid w:val="684404E7"/>
    <w:rsid w:val="684915F5"/>
    <w:rsid w:val="68E317A8"/>
    <w:rsid w:val="691260FC"/>
    <w:rsid w:val="69206B23"/>
    <w:rsid w:val="693A6E19"/>
    <w:rsid w:val="6951164F"/>
    <w:rsid w:val="6A34280E"/>
    <w:rsid w:val="6B1756A5"/>
    <w:rsid w:val="6B2D747A"/>
    <w:rsid w:val="6B525303"/>
    <w:rsid w:val="6B750D02"/>
    <w:rsid w:val="6B94229F"/>
    <w:rsid w:val="6BCB0C9F"/>
    <w:rsid w:val="6BD97077"/>
    <w:rsid w:val="6BDD0337"/>
    <w:rsid w:val="6C5203DE"/>
    <w:rsid w:val="6CF5304F"/>
    <w:rsid w:val="6D1F18D7"/>
    <w:rsid w:val="6D566BC7"/>
    <w:rsid w:val="6DC63241"/>
    <w:rsid w:val="6DF74C6D"/>
    <w:rsid w:val="6E6C7679"/>
    <w:rsid w:val="6EB0687A"/>
    <w:rsid w:val="6F0E2993"/>
    <w:rsid w:val="6F573E67"/>
    <w:rsid w:val="6FBB7CA9"/>
    <w:rsid w:val="708C4D89"/>
    <w:rsid w:val="7196208A"/>
    <w:rsid w:val="71990D6B"/>
    <w:rsid w:val="722B43E6"/>
    <w:rsid w:val="72581325"/>
    <w:rsid w:val="72661FA6"/>
    <w:rsid w:val="72757E4C"/>
    <w:rsid w:val="729F1817"/>
    <w:rsid w:val="72E84B42"/>
    <w:rsid w:val="735E7F24"/>
    <w:rsid w:val="73BD30F5"/>
    <w:rsid w:val="74060020"/>
    <w:rsid w:val="74636155"/>
    <w:rsid w:val="746639BF"/>
    <w:rsid w:val="747D1F9C"/>
    <w:rsid w:val="74A735BA"/>
    <w:rsid w:val="74BF73AB"/>
    <w:rsid w:val="74E95DDE"/>
    <w:rsid w:val="75A50BDD"/>
    <w:rsid w:val="76451A4B"/>
    <w:rsid w:val="765135F6"/>
    <w:rsid w:val="767D682B"/>
    <w:rsid w:val="769160B5"/>
    <w:rsid w:val="76AF3D42"/>
    <w:rsid w:val="76F9379F"/>
    <w:rsid w:val="77296E1D"/>
    <w:rsid w:val="77A83FD6"/>
    <w:rsid w:val="77A94A0F"/>
    <w:rsid w:val="78836D67"/>
    <w:rsid w:val="78983246"/>
    <w:rsid w:val="78A75525"/>
    <w:rsid w:val="78B955FB"/>
    <w:rsid w:val="78D77FF4"/>
    <w:rsid w:val="790A57CE"/>
    <w:rsid w:val="790D4E56"/>
    <w:rsid w:val="79143C51"/>
    <w:rsid w:val="798E6A72"/>
    <w:rsid w:val="7A167641"/>
    <w:rsid w:val="7A661162"/>
    <w:rsid w:val="7A8923E2"/>
    <w:rsid w:val="7A9F458D"/>
    <w:rsid w:val="7AB46871"/>
    <w:rsid w:val="7AD57217"/>
    <w:rsid w:val="7BBE2D86"/>
    <w:rsid w:val="7C56397B"/>
    <w:rsid w:val="7D031F88"/>
    <w:rsid w:val="7D077E03"/>
    <w:rsid w:val="7D470A37"/>
    <w:rsid w:val="7D592B7F"/>
    <w:rsid w:val="7D600A07"/>
    <w:rsid w:val="7D7924D2"/>
    <w:rsid w:val="7E8A73CE"/>
    <w:rsid w:val="7EB53845"/>
    <w:rsid w:val="7FEE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9"/>
    <w:qFormat/>
    <w:uiPriority w:val="0"/>
    <w:pPr>
      <w:jc w:val="left"/>
      <w:outlineLvl w:val="0"/>
    </w:pPr>
    <w:rPr>
      <w:rFonts w:hint="eastAsia" w:ascii="宋体" w:hAnsi="宋体" w:eastAsia="宋体"/>
      <w:kern w:val="44"/>
      <w:sz w:val="42"/>
      <w:szCs w:val="42"/>
    </w:rPr>
  </w:style>
  <w:style w:type="paragraph" w:styleId="3">
    <w:name w:val="heading 2"/>
    <w:basedOn w:val="1"/>
    <w:next w:val="1"/>
    <w:link w:val="30"/>
    <w:qFormat/>
    <w:uiPriority w:val="0"/>
    <w:pPr>
      <w:keepNext/>
      <w:keepLines/>
      <w:spacing w:before="260" w:after="260" w:line="416" w:lineRule="auto"/>
      <w:outlineLvl w:val="1"/>
    </w:pPr>
    <w:rPr>
      <w:rFonts w:ascii="Cambria" w:hAnsi="Cambria"/>
      <w:b/>
      <w:szCs w:val="20"/>
    </w:rPr>
  </w:style>
  <w:style w:type="paragraph" w:styleId="4">
    <w:name w:val="heading 3"/>
    <w:basedOn w:val="1"/>
    <w:next w:val="1"/>
    <w:link w:val="31"/>
    <w:qFormat/>
    <w:uiPriority w:val="9"/>
    <w:pPr>
      <w:keepNext/>
      <w:keepLines/>
      <w:spacing w:before="260" w:after="260" w:line="416" w:lineRule="auto"/>
      <w:outlineLvl w:val="2"/>
    </w:pPr>
    <w:rPr>
      <w:b/>
      <w:bCs/>
      <w:szCs w:val="32"/>
    </w:rPr>
  </w:style>
  <w:style w:type="paragraph" w:styleId="5">
    <w:name w:val="heading 4"/>
    <w:basedOn w:val="1"/>
    <w:next w:val="1"/>
    <w:link w:val="5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2"/>
    <w:qFormat/>
    <w:uiPriority w:val="0"/>
    <w:pPr>
      <w:jc w:val="left"/>
    </w:pPr>
  </w:style>
  <w:style w:type="paragraph" w:styleId="7">
    <w:name w:val="toc 3"/>
    <w:basedOn w:val="1"/>
    <w:next w:val="1"/>
    <w:uiPriority w:val="39"/>
    <w:pPr>
      <w:widowControl/>
      <w:spacing w:after="100" w:line="276" w:lineRule="auto"/>
      <w:ind w:left="440"/>
      <w:jc w:val="left"/>
    </w:pPr>
    <w:rPr>
      <w:rFonts w:ascii="Calibri" w:hAnsi="Calibri" w:eastAsia="宋体"/>
      <w:kern w:val="0"/>
      <w:sz w:val="22"/>
      <w:szCs w:val="22"/>
    </w:rPr>
  </w:style>
  <w:style w:type="paragraph" w:styleId="8">
    <w:name w:val="Date"/>
    <w:basedOn w:val="1"/>
    <w:next w:val="1"/>
    <w:link w:val="33"/>
    <w:uiPriority w:val="0"/>
    <w:pPr>
      <w:ind w:left="100" w:leftChars="2500"/>
    </w:pPr>
  </w:style>
  <w:style w:type="paragraph" w:styleId="9">
    <w:name w:val="Balloon Text"/>
    <w:basedOn w:val="1"/>
    <w:link w:val="34"/>
    <w:uiPriority w:val="0"/>
    <w:rPr>
      <w:sz w:val="18"/>
      <w:szCs w:val="18"/>
    </w:rPr>
  </w:style>
  <w:style w:type="paragraph" w:styleId="10">
    <w:name w:val="footer"/>
    <w:basedOn w:val="1"/>
    <w:link w:val="35"/>
    <w:uiPriority w:val="99"/>
    <w:pPr>
      <w:tabs>
        <w:tab w:val="center" w:pos="4153"/>
        <w:tab w:val="right" w:pos="8306"/>
      </w:tabs>
      <w:snapToGrid w:val="0"/>
      <w:jc w:val="left"/>
    </w:pPr>
    <w:rPr>
      <w:rFonts w:eastAsia="仿宋_GB2312"/>
      <w:sz w:val="18"/>
      <w:szCs w:val="20"/>
    </w:rPr>
  </w:style>
  <w:style w:type="paragraph" w:styleId="11">
    <w:name w:val="header"/>
    <w:basedOn w:val="1"/>
    <w:link w:val="36"/>
    <w:uiPriority w:val="0"/>
    <w:pPr>
      <w:pBdr>
        <w:bottom w:val="single" w:color="auto" w:sz="6" w:space="1"/>
      </w:pBdr>
      <w:tabs>
        <w:tab w:val="center" w:pos="4153"/>
        <w:tab w:val="right" w:pos="8306"/>
      </w:tabs>
      <w:snapToGrid w:val="0"/>
      <w:jc w:val="center"/>
    </w:pPr>
    <w:rPr>
      <w:rFonts w:eastAsia="宋体"/>
      <w:sz w:val="18"/>
      <w:szCs w:val="18"/>
    </w:rPr>
  </w:style>
  <w:style w:type="paragraph" w:styleId="12">
    <w:name w:val="toc 1"/>
    <w:basedOn w:val="1"/>
    <w:next w:val="1"/>
    <w:uiPriority w:val="39"/>
    <w:pPr>
      <w:tabs>
        <w:tab w:val="right" w:leader="dot" w:pos="8290"/>
      </w:tabs>
      <w:jc w:val="center"/>
    </w:pPr>
    <w:rPr>
      <w:b/>
      <w:kern w:val="0"/>
    </w:rPr>
  </w:style>
  <w:style w:type="paragraph" w:styleId="13">
    <w:name w:val="toc 2"/>
    <w:basedOn w:val="1"/>
    <w:next w:val="1"/>
    <w:uiPriority w:val="39"/>
    <w:pPr>
      <w:ind w:left="420" w:leftChars="200"/>
    </w:pPr>
  </w:style>
  <w:style w:type="paragraph" w:styleId="14">
    <w:name w:val="Normal (Web)"/>
    <w:basedOn w:val="1"/>
    <w:uiPriority w:val="99"/>
    <w:pPr>
      <w:spacing w:before="100" w:beforeAutospacing="1" w:after="100" w:afterAutospacing="1"/>
      <w:jc w:val="left"/>
    </w:pPr>
    <w:rPr>
      <w:kern w:val="0"/>
      <w:sz w:val="24"/>
    </w:rPr>
  </w:style>
  <w:style w:type="paragraph" w:styleId="15">
    <w:name w:val="Title"/>
    <w:basedOn w:val="1"/>
    <w:next w:val="1"/>
    <w:link w:val="37"/>
    <w:qFormat/>
    <w:uiPriority w:val="0"/>
    <w:pPr>
      <w:spacing w:before="240" w:after="60"/>
      <w:jc w:val="center"/>
      <w:outlineLvl w:val="0"/>
    </w:pPr>
    <w:rPr>
      <w:rFonts w:ascii="等线 Light" w:hAnsi="等线 Light" w:eastAsia="宋体"/>
      <w:b/>
      <w:bCs/>
      <w:szCs w:val="32"/>
    </w:rPr>
  </w:style>
  <w:style w:type="paragraph" w:styleId="16">
    <w:name w:val="annotation subject"/>
    <w:basedOn w:val="6"/>
    <w:next w:val="6"/>
    <w:link w:val="38"/>
    <w:uiPriority w:val="0"/>
    <w:rPr>
      <w:b/>
      <w:bCs/>
    </w:rPr>
  </w:style>
  <w:style w:type="character" w:styleId="19">
    <w:name w:val="Strong"/>
    <w:qFormat/>
    <w:uiPriority w:val="0"/>
    <w:rPr>
      <w:b/>
    </w:rPr>
  </w:style>
  <w:style w:type="character" w:styleId="20">
    <w:name w:val="page number"/>
    <w:basedOn w:val="18"/>
    <w:uiPriority w:val="0"/>
  </w:style>
  <w:style w:type="character" w:styleId="21">
    <w:name w:val="FollowedHyperlink"/>
    <w:uiPriority w:val="0"/>
    <w:rPr>
      <w:color w:val="333333"/>
      <w:sz w:val="18"/>
      <w:szCs w:val="18"/>
      <w:u w:val="none"/>
    </w:rPr>
  </w:style>
  <w:style w:type="character" w:styleId="22">
    <w:name w:val="HTML Definition"/>
    <w:qFormat/>
    <w:uiPriority w:val="0"/>
    <w:rPr>
      <w:i/>
    </w:rPr>
  </w:style>
  <w:style w:type="character" w:styleId="23">
    <w:name w:val="HTML Acronym"/>
    <w:basedOn w:val="18"/>
    <w:uiPriority w:val="0"/>
  </w:style>
  <w:style w:type="character" w:styleId="24">
    <w:name w:val="Hyperlink"/>
    <w:qFormat/>
    <w:uiPriority w:val="99"/>
    <w:rPr>
      <w:color w:val="333333"/>
      <w:sz w:val="18"/>
      <w:szCs w:val="18"/>
      <w:u w:val="none"/>
    </w:rPr>
  </w:style>
  <w:style w:type="character" w:styleId="25">
    <w:name w:val="HTML Code"/>
    <w:qFormat/>
    <w:uiPriority w:val="0"/>
    <w:rPr>
      <w:rFonts w:ascii="monospace" w:hAnsi="monospace" w:eastAsia="monospace" w:cs="monospace"/>
      <w:sz w:val="21"/>
      <w:szCs w:val="21"/>
    </w:rPr>
  </w:style>
  <w:style w:type="character" w:styleId="26">
    <w:name w:val="annotation reference"/>
    <w:qFormat/>
    <w:uiPriority w:val="0"/>
    <w:rPr>
      <w:sz w:val="21"/>
      <w:szCs w:val="21"/>
    </w:rPr>
  </w:style>
  <w:style w:type="character" w:styleId="27">
    <w:name w:val="HTML Keyboard"/>
    <w:qFormat/>
    <w:uiPriority w:val="0"/>
    <w:rPr>
      <w:rFonts w:hint="default" w:ascii="monospace" w:hAnsi="monospace" w:eastAsia="monospace" w:cs="monospace"/>
      <w:sz w:val="21"/>
      <w:szCs w:val="21"/>
    </w:rPr>
  </w:style>
  <w:style w:type="character" w:styleId="28">
    <w:name w:val="HTML Sample"/>
    <w:qFormat/>
    <w:uiPriority w:val="0"/>
    <w:rPr>
      <w:rFonts w:hint="default" w:ascii="monospace" w:hAnsi="monospace" w:eastAsia="monospace" w:cs="monospace"/>
      <w:sz w:val="21"/>
      <w:szCs w:val="21"/>
    </w:rPr>
  </w:style>
  <w:style w:type="character" w:customStyle="1" w:styleId="29">
    <w:name w:val="标题 1 字符"/>
    <w:link w:val="2"/>
    <w:uiPriority w:val="0"/>
    <w:rPr>
      <w:rFonts w:hint="eastAsia" w:ascii="宋体" w:hAnsi="宋体" w:eastAsia="宋体" w:cs="宋体"/>
      <w:kern w:val="44"/>
      <w:sz w:val="42"/>
      <w:szCs w:val="42"/>
      <w:lang w:val="en-US" w:eastAsia="zh-CN" w:bidi="ar"/>
    </w:rPr>
  </w:style>
  <w:style w:type="character" w:customStyle="1" w:styleId="30">
    <w:name w:val="标题 2 字符"/>
    <w:link w:val="3"/>
    <w:uiPriority w:val="9"/>
    <w:rPr>
      <w:rFonts w:ascii="Cambria" w:hAnsi="Cambria" w:eastAsia="方正仿宋_GBK"/>
      <w:b/>
      <w:kern w:val="2"/>
      <w:sz w:val="32"/>
    </w:rPr>
  </w:style>
  <w:style w:type="character" w:customStyle="1" w:styleId="31">
    <w:name w:val="标题 3 字符"/>
    <w:link w:val="4"/>
    <w:uiPriority w:val="9"/>
    <w:rPr>
      <w:rFonts w:eastAsia="方正仿宋_GBK"/>
      <w:b/>
      <w:bCs/>
      <w:kern w:val="2"/>
      <w:sz w:val="32"/>
      <w:szCs w:val="32"/>
    </w:rPr>
  </w:style>
  <w:style w:type="character" w:customStyle="1" w:styleId="32">
    <w:name w:val="批注文字 字符"/>
    <w:link w:val="6"/>
    <w:uiPriority w:val="0"/>
    <w:rPr>
      <w:rFonts w:eastAsia="方正仿宋_GBK"/>
      <w:kern w:val="2"/>
      <w:sz w:val="32"/>
      <w:szCs w:val="24"/>
    </w:rPr>
  </w:style>
  <w:style w:type="character" w:customStyle="1" w:styleId="33">
    <w:name w:val="日期 字符"/>
    <w:link w:val="8"/>
    <w:uiPriority w:val="0"/>
    <w:rPr>
      <w:rFonts w:eastAsia="方正仿宋_GBK"/>
      <w:kern w:val="2"/>
      <w:sz w:val="32"/>
      <w:szCs w:val="24"/>
    </w:rPr>
  </w:style>
  <w:style w:type="character" w:customStyle="1" w:styleId="34">
    <w:name w:val="批注框文本 字符"/>
    <w:link w:val="9"/>
    <w:uiPriority w:val="0"/>
    <w:rPr>
      <w:rFonts w:eastAsia="方正仿宋_GBK"/>
      <w:kern w:val="2"/>
      <w:sz w:val="18"/>
      <w:szCs w:val="18"/>
    </w:rPr>
  </w:style>
  <w:style w:type="character" w:customStyle="1" w:styleId="35">
    <w:name w:val="页脚 字符"/>
    <w:link w:val="10"/>
    <w:uiPriority w:val="99"/>
    <w:rPr>
      <w:rFonts w:eastAsia="仿宋_GB2312"/>
      <w:kern w:val="2"/>
      <w:sz w:val="18"/>
    </w:rPr>
  </w:style>
  <w:style w:type="character" w:customStyle="1" w:styleId="36">
    <w:name w:val="页眉 字符"/>
    <w:link w:val="11"/>
    <w:qFormat/>
    <w:uiPriority w:val="0"/>
    <w:rPr>
      <w:kern w:val="2"/>
      <w:sz w:val="18"/>
      <w:szCs w:val="18"/>
    </w:rPr>
  </w:style>
  <w:style w:type="character" w:customStyle="1" w:styleId="37">
    <w:name w:val="标题 字符"/>
    <w:link w:val="15"/>
    <w:uiPriority w:val="0"/>
    <w:rPr>
      <w:rFonts w:ascii="等线 Light" w:hAnsi="等线 Light"/>
      <w:b/>
      <w:bCs/>
      <w:kern w:val="2"/>
      <w:sz w:val="32"/>
      <w:szCs w:val="32"/>
    </w:rPr>
  </w:style>
  <w:style w:type="character" w:customStyle="1" w:styleId="38">
    <w:name w:val="批注主题 字符"/>
    <w:link w:val="16"/>
    <w:uiPriority w:val="0"/>
    <w:rPr>
      <w:rFonts w:eastAsia="方正仿宋_GBK"/>
      <w:b/>
      <w:bCs/>
      <w:kern w:val="2"/>
      <w:sz w:val="32"/>
      <w:szCs w:val="24"/>
    </w:rPr>
  </w:style>
  <w:style w:type="character" w:customStyle="1" w:styleId="39">
    <w:name w:val="buvis"/>
    <w:qFormat/>
    <w:uiPriority w:val="0"/>
    <w:rPr>
      <w:color w:val="999999"/>
    </w:rPr>
  </w:style>
  <w:style w:type="character" w:customStyle="1" w:styleId="40">
    <w:name w:val="buvis1"/>
    <w:qFormat/>
    <w:uiPriority w:val="0"/>
    <w:rPr>
      <w:color w:val="CC0000"/>
    </w:rPr>
  </w:style>
  <w:style w:type="character" w:customStyle="1" w:styleId="41">
    <w:name w:val="left2"/>
    <w:basedOn w:val="18"/>
    <w:qFormat/>
    <w:uiPriority w:val="0"/>
  </w:style>
  <w:style w:type="character" w:customStyle="1" w:styleId="42">
    <w:name w:val="c3"/>
    <w:basedOn w:val="18"/>
    <w:qFormat/>
    <w:uiPriority w:val="0"/>
  </w:style>
  <w:style w:type="character" w:customStyle="1" w:styleId="43">
    <w:name w:val="c2"/>
    <w:basedOn w:val="18"/>
    <w:qFormat/>
    <w:uiPriority w:val="0"/>
  </w:style>
  <w:style w:type="character" w:customStyle="1" w:styleId="44">
    <w:name w:val="msg-box"/>
    <w:basedOn w:val="18"/>
    <w:qFormat/>
    <w:uiPriority w:val="0"/>
  </w:style>
  <w:style w:type="character" w:customStyle="1" w:styleId="45">
    <w:name w:val="msg-box6"/>
    <w:basedOn w:val="18"/>
    <w:qFormat/>
    <w:uiPriority w:val="0"/>
  </w:style>
  <w:style w:type="character" w:customStyle="1" w:styleId="46">
    <w:name w:val="j-info-hit1"/>
    <w:basedOn w:val="18"/>
    <w:qFormat/>
    <w:uiPriority w:val="0"/>
  </w:style>
  <w:style w:type="character" w:customStyle="1" w:styleId="47">
    <w:name w:val="tit"/>
    <w:qFormat/>
    <w:uiPriority w:val="0"/>
    <w:rPr>
      <w:b/>
      <w:color w:val="333333"/>
      <w:sz w:val="24"/>
      <w:szCs w:val="24"/>
    </w:rPr>
  </w:style>
  <w:style w:type="character" w:customStyle="1" w:styleId="48">
    <w:name w:val="tit7"/>
    <w:qFormat/>
    <w:uiPriority w:val="0"/>
    <w:rPr>
      <w:b/>
      <w:color w:val="333333"/>
      <w:sz w:val="24"/>
      <w:szCs w:val="24"/>
    </w:rPr>
  </w:style>
  <w:style w:type="character" w:customStyle="1" w:styleId="49">
    <w:name w:val="j-share-info1"/>
    <w:basedOn w:val="18"/>
    <w:qFormat/>
    <w:uiPriority w:val="0"/>
  </w:style>
  <w:style w:type="character" w:customStyle="1" w:styleId="50">
    <w:name w:val="c1"/>
    <w:basedOn w:val="18"/>
    <w:qFormat/>
    <w:uiPriority w:val="0"/>
  </w:style>
  <w:style w:type="character" w:customStyle="1" w:styleId="51">
    <w:name w:val="标题 字符1"/>
    <w:qFormat/>
    <w:uiPriority w:val="0"/>
    <w:rPr>
      <w:rFonts w:ascii="等线 Light" w:hAnsi="等线 Light" w:cs="Times New Roman"/>
      <w:b/>
      <w:bCs/>
      <w:kern w:val="2"/>
      <w:sz w:val="32"/>
      <w:szCs w:val="32"/>
    </w:rPr>
  </w:style>
  <w:style w:type="paragraph" w:customStyle="1" w:styleId="52">
    <w:name w:val="_Style 3"/>
    <w:basedOn w:val="2"/>
    <w:next w:val="1"/>
    <w:qFormat/>
    <w:uiPriority w:val="99"/>
    <w:pPr>
      <w:widowControl/>
      <w:spacing w:before="480" w:line="276" w:lineRule="auto"/>
      <w:outlineLvl w:val="9"/>
    </w:pPr>
    <w:rPr>
      <w:rFonts w:ascii="Cambria" w:hAnsi="Cambria"/>
      <w:color w:val="365F91"/>
      <w:kern w:val="0"/>
      <w:sz w:val="28"/>
      <w:szCs w:val="28"/>
    </w:rPr>
  </w:style>
  <w:style w:type="paragraph" w:customStyle="1" w:styleId="53">
    <w:name w:val="TOC 标题1"/>
    <w:basedOn w:val="2"/>
    <w:next w:val="1"/>
    <w:qFormat/>
    <w:uiPriority w:val="39"/>
    <w:pPr>
      <w:keepNext/>
      <w:keepLines/>
      <w:widowControl/>
      <w:spacing w:before="240" w:line="259" w:lineRule="auto"/>
      <w:outlineLvl w:val="9"/>
    </w:pPr>
    <w:rPr>
      <w:rFonts w:hint="default" w:ascii="等线 Light" w:hAnsi="等线 Light" w:eastAsia="等线 Light"/>
      <w:color w:val="2E74B5"/>
      <w:kern w:val="0"/>
      <w:sz w:val="32"/>
      <w:szCs w:val="32"/>
    </w:rPr>
  </w:style>
  <w:style w:type="paragraph" w:styleId="54">
    <w:name w:val="List Paragraph"/>
    <w:basedOn w:val="1"/>
    <w:qFormat/>
    <w:uiPriority w:val="34"/>
    <w:pPr>
      <w:ind w:firstLine="420" w:firstLineChars="200"/>
    </w:pPr>
    <w:rPr>
      <w:rFonts w:ascii="等线" w:hAnsi="等线" w:eastAsia="等线"/>
      <w:sz w:val="21"/>
      <w:szCs w:val="22"/>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7">
    <w:name w:val="标题 4 字符"/>
    <w:basedOn w:val="18"/>
    <w:link w:val="5"/>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045;&#26126;\Desktop\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7BBA3-DFC4-47DD-9124-DE86C0EB56BD}">
  <ds:schemaRefs/>
</ds:datastoreItem>
</file>

<file path=docProps/app.xml><?xml version="1.0" encoding="utf-8"?>
<Properties xmlns="http://schemas.openxmlformats.org/officeDocument/2006/extended-properties" xmlns:vt="http://schemas.openxmlformats.org/officeDocument/2006/docPropsVTypes">
  <Template>0-模板.dot</Template>
  <Company>微软中国</Company>
  <Pages>92</Pages>
  <Words>7654</Words>
  <Characters>43634</Characters>
  <Lines>363</Lines>
  <Paragraphs>102</Paragraphs>
  <TotalTime>1352</TotalTime>
  <ScaleCrop>false</ScaleCrop>
  <LinksUpToDate>false</LinksUpToDate>
  <CharactersWithSpaces>51186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2021-10-12T03:33:00Z</dcterms:created>
  <dc:creator>彭璐</dc:creator>
  <cp:lastModifiedBy>梦群</cp:lastModifiedBy>
  <cp:lastPrinted>2021-10-22T02:34:00Z</cp:lastPrinted>
  <dcterms:modified xsi:type="dcterms:W3CDTF">2022-02-22T03:59:23Z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6647297C950F4F11839FCEC37CB712E3</vt:lpwstr>
  </property>
</Properties>
</file>