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0AC" w14:textId="037714D9" w:rsidR="004D0EA6" w:rsidRDefault="00000000" w:rsidP="00102494">
      <w:pPr>
        <w:spacing w:line="360" w:lineRule="auto"/>
        <w:jc w:val="center"/>
        <w:rPr>
          <w:rFonts w:ascii="仿宋" w:eastAsia="仿宋" w:hAnsi="仿宋" w:hint="eastAsia"/>
          <w:b/>
          <w:sz w:val="40"/>
          <w:szCs w:val="40"/>
        </w:rPr>
      </w:pPr>
      <w:r>
        <w:rPr>
          <w:rFonts w:ascii="仿宋" w:eastAsia="仿宋" w:hAnsi="仿宋" w:hint="eastAsia"/>
          <w:b/>
          <w:sz w:val="40"/>
          <w:szCs w:val="40"/>
        </w:rPr>
        <w:t>项目名称：</w:t>
      </w:r>
      <w:proofErr w:type="gramStart"/>
      <w:r w:rsidR="00EE6ABF" w:rsidRPr="00EE6ABF">
        <w:rPr>
          <w:rFonts w:ascii="仿宋" w:eastAsia="仿宋" w:hAnsi="仿宋" w:hint="eastAsia"/>
          <w:b/>
          <w:sz w:val="40"/>
          <w:szCs w:val="40"/>
        </w:rPr>
        <w:t>低温冷炸带鱼</w:t>
      </w:r>
      <w:proofErr w:type="gramEnd"/>
      <w:r w:rsidR="00EE6ABF" w:rsidRPr="00EE6ABF">
        <w:rPr>
          <w:rFonts w:ascii="仿宋" w:eastAsia="仿宋" w:hAnsi="仿宋" w:hint="eastAsia"/>
          <w:b/>
          <w:sz w:val="40"/>
          <w:szCs w:val="40"/>
        </w:rPr>
        <w:t>预制</w:t>
      </w:r>
      <w:proofErr w:type="gramStart"/>
      <w:r w:rsidR="00EE6ABF" w:rsidRPr="00EE6ABF">
        <w:rPr>
          <w:rFonts w:ascii="仿宋" w:eastAsia="仿宋" w:hAnsi="仿宋" w:hint="eastAsia"/>
          <w:b/>
          <w:sz w:val="40"/>
          <w:szCs w:val="40"/>
        </w:rPr>
        <w:t>菜关键</w:t>
      </w:r>
      <w:proofErr w:type="gramEnd"/>
      <w:r w:rsidR="00EE6ABF" w:rsidRPr="00EE6ABF">
        <w:rPr>
          <w:rFonts w:ascii="仿宋" w:eastAsia="仿宋" w:hAnsi="仿宋" w:hint="eastAsia"/>
          <w:b/>
          <w:sz w:val="40"/>
          <w:szCs w:val="40"/>
        </w:rPr>
        <w:t>技术研发及产业化研究</w:t>
      </w:r>
    </w:p>
    <w:p w14:paraId="4F474A13" w14:textId="77777777" w:rsidR="004D0EA6" w:rsidRDefault="004D0EA6"/>
    <w:p w14:paraId="5689F619" w14:textId="77777777" w:rsidR="004D0EA6" w:rsidRDefault="00000000">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33E9D08D" w14:textId="5A617D7A" w:rsidR="00102494" w:rsidRDefault="00102494" w:rsidP="00102494">
      <w:pPr>
        <w:pStyle w:val="a8"/>
        <w:spacing w:before="91" w:line="391" w:lineRule="auto"/>
        <w:ind w:left="1" w:right="24" w:firstLine="563"/>
        <w:jc w:val="both"/>
        <w:rPr>
          <w:rFonts w:hint="eastAsia"/>
          <w:lang w:eastAsia="zh-CN"/>
        </w:rPr>
      </w:pPr>
      <w:r>
        <w:rPr>
          <w:spacing w:val="-3"/>
          <w:lang w:eastAsia="zh-CN"/>
        </w:rPr>
        <w:t>安徽中颐食品科技有限公司始建于</w:t>
      </w:r>
      <w:r>
        <w:rPr>
          <w:spacing w:val="-53"/>
          <w:lang w:eastAsia="zh-CN"/>
        </w:rPr>
        <w:t xml:space="preserve"> </w:t>
      </w:r>
      <w:r>
        <w:rPr>
          <w:rFonts w:ascii="Calibri" w:eastAsia="Calibri" w:hAnsi="Calibri" w:cs="Calibri"/>
          <w:spacing w:val="-3"/>
          <w:lang w:eastAsia="zh-CN"/>
        </w:rPr>
        <w:t>2012</w:t>
      </w:r>
      <w:r>
        <w:rPr>
          <w:rFonts w:ascii="Calibri" w:eastAsia="Calibri" w:hAnsi="Calibri" w:cs="Calibri"/>
          <w:spacing w:val="21"/>
          <w:lang w:eastAsia="zh-CN"/>
        </w:rPr>
        <w:t xml:space="preserve"> </w:t>
      </w:r>
      <w:r>
        <w:rPr>
          <w:spacing w:val="-3"/>
          <w:lang w:eastAsia="zh-CN"/>
        </w:rPr>
        <w:t>年，</w:t>
      </w:r>
      <w:r>
        <w:rPr>
          <w:spacing w:val="-80"/>
          <w:lang w:eastAsia="zh-CN"/>
        </w:rPr>
        <w:t xml:space="preserve"> </w:t>
      </w:r>
      <w:r>
        <w:rPr>
          <w:spacing w:val="-3"/>
          <w:lang w:eastAsia="zh-CN"/>
        </w:rPr>
        <w:t>占地</w:t>
      </w:r>
      <w:r>
        <w:rPr>
          <w:spacing w:val="-55"/>
          <w:lang w:eastAsia="zh-CN"/>
        </w:rPr>
        <w:t xml:space="preserve"> </w:t>
      </w:r>
      <w:r>
        <w:rPr>
          <w:rFonts w:ascii="Calibri" w:eastAsia="Calibri" w:hAnsi="Calibri" w:cs="Calibri"/>
          <w:spacing w:val="-3"/>
          <w:lang w:eastAsia="zh-CN"/>
        </w:rPr>
        <w:t>51673m</w:t>
      </w:r>
      <w:r>
        <w:rPr>
          <w:rFonts w:ascii="Calibri" w:eastAsia="Calibri" w:hAnsi="Calibri" w:cs="Calibri"/>
          <w:spacing w:val="-3"/>
          <w:position w:val="9"/>
          <w:sz w:val="18"/>
          <w:szCs w:val="18"/>
          <w:lang w:eastAsia="zh-CN"/>
        </w:rPr>
        <w:t xml:space="preserve">2 </w:t>
      </w:r>
      <w:r>
        <w:rPr>
          <w:spacing w:val="-3"/>
          <w:lang w:eastAsia="zh-CN"/>
        </w:rPr>
        <w:t>，</w:t>
      </w:r>
      <w:r>
        <w:rPr>
          <w:spacing w:val="-4"/>
          <w:lang w:eastAsia="zh-CN"/>
        </w:rPr>
        <w:t>一期已建成</w:t>
      </w:r>
      <w:r>
        <w:rPr>
          <w:lang w:eastAsia="zh-CN"/>
        </w:rPr>
        <w:t xml:space="preserve"> </w:t>
      </w:r>
      <w:r>
        <w:rPr>
          <w:spacing w:val="-14"/>
          <w:lang w:eastAsia="zh-CN"/>
        </w:rPr>
        <w:t>厂房、宿舍、办公室、食堂、仓库等总面积</w:t>
      </w:r>
      <w:r>
        <w:rPr>
          <w:spacing w:val="-55"/>
          <w:lang w:eastAsia="zh-CN"/>
        </w:rPr>
        <w:t xml:space="preserve"> </w:t>
      </w:r>
      <w:r>
        <w:rPr>
          <w:rFonts w:ascii="Calibri" w:eastAsia="Calibri" w:hAnsi="Calibri" w:cs="Calibri"/>
          <w:spacing w:val="-14"/>
          <w:lang w:eastAsia="zh-CN"/>
        </w:rPr>
        <w:t>2140</w:t>
      </w:r>
      <w:r>
        <w:rPr>
          <w:rFonts w:ascii="Calibri" w:eastAsia="Calibri" w:hAnsi="Calibri" w:cs="Calibri"/>
          <w:spacing w:val="-15"/>
          <w:lang w:eastAsia="zh-CN"/>
        </w:rPr>
        <w:t>0</w:t>
      </w:r>
      <w:r>
        <w:rPr>
          <w:rFonts w:ascii="Calibri" w:eastAsia="Calibri" w:hAnsi="Calibri" w:cs="Calibri"/>
          <w:spacing w:val="-3"/>
          <w:lang w:eastAsia="zh-CN"/>
        </w:rPr>
        <w:t>m</w:t>
      </w:r>
      <w:r>
        <w:rPr>
          <w:rFonts w:ascii="Calibri" w:eastAsia="Calibri" w:hAnsi="Calibri" w:cs="Calibri"/>
          <w:spacing w:val="-3"/>
          <w:position w:val="9"/>
          <w:sz w:val="18"/>
          <w:szCs w:val="18"/>
          <w:lang w:eastAsia="zh-CN"/>
        </w:rPr>
        <w:t>2</w:t>
      </w:r>
      <w:r>
        <w:rPr>
          <w:rFonts w:ascii="Calibri" w:hAnsi="Calibri" w:cs="Calibri" w:hint="eastAsia"/>
          <w:spacing w:val="-3"/>
          <w:position w:val="9"/>
          <w:sz w:val="18"/>
          <w:szCs w:val="18"/>
          <w:lang w:eastAsia="zh-CN"/>
        </w:rPr>
        <w:t>，</w:t>
      </w:r>
      <w:r>
        <w:rPr>
          <w:spacing w:val="-15"/>
          <w:lang w:eastAsia="zh-CN"/>
        </w:rPr>
        <w:t>其中低温冷库约</w:t>
      </w:r>
      <w:r>
        <w:rPr>
          <w:spacing w:val="-57"/>
          <w:lang w:eastAsia="zh-CN"/>
        </w:rPr>
        <w:t xml:space="preserve"> </w:t>
      </w:r>
      <w:r>
        <w:rPr>
          <w:rFonts w:ascii="Calibri" w:eastAsia="Calibri" w:hAnsi="Calibri" w:cs="Calibri"/>
          <w:spacing w:val="-15"/>
          <w:lang w:eastAsia="zh-CN"/>
        </w:rPr>
        <w:t xml:space="preserve">3000 </w:t>
      </w:r>
      <w:r>
        <w:rPr>
          <w:rFonts w:ascii="Calibri" w:eastAsia="Calibri" w:hAnsi="Calibri" w:cs="Calibri"/>
          <w:spacing w:val="-3"/>
          <w:lang w:eastAsia="zh-CN"/>
        </w:rPr>
        <w:t>m</w:t>
      </w:r>
      <w:r>
        <w:rPr>
          <w:rFonts w:ascii="Calibri" w:eastAsia="Calibri" w:hAnsi="Calibri" w:cs="Calibri"/>
          <w:spacing w:val="-3"/>
          <w:position w:val="9"/>
          <w:sz w:val="18"/>
          <w:szCs w:val="18"/>
          <w:lang w:eastAsia="zh-CN"/>
        </w:rPr>
        <w:t>2</w:t>
      </w:r>
      <w:r>
        <w:rPr>
          <w:spacing w:val="-15"/>
          <w:lang w:eastAsia="zh-CN"/>
        </w:rPr>
        <w:t>，</w:t>
      </w:r>
      <w:r>
        <w:rPr>
          <w:lang w:eastAsia="zh-CN"/>
        </w:rPr>
        <w:t xml:space="preserve"> </w:t>
      </w:r>
      <w:r>
        <w:rPr>
          <w:spacing w:val="-13"/>
          <w:lang w:eastAsia="zh-CN"/>
        </w:rPr>
        <w:t>库容冷藏成品</w:t>
      </w:r>
      <w:r>
        <w:rPr>
          <w:spacing w:val="-64"/>
          <w:lang w:eastAsia="zh-CN"/>
        </w:rPr>
        <w:t xml:space="preserve"> </w:t>
      </w:r>
      <w:r>
        <w:rPr>
          <w:rFonts w:ascii="Calibri" w:eastAsia="Calibri" w:hAnsi="Calibri" w:cs="Calibri"/>
          <w:spacing w:val="-13"/>
          <w:lang w:eastAsia="zh-CN"/>
        </w:rPr>
        <w:t>4000</w:t>
      </w:r>
      <w:r>
        <w:rPr>
          <w:rFonts w:ascii="Calibri" w:eastAsia="Calibri" w:hAnsi="Calibri" w:cs="Calibri"/>
          <w:spacing w:val="30"/>
          <w:lang w:eastAsia="zh-CN"/>
        </w:rPr>
        <w:t xml:space="preserve"> </w:t>
      </w:r>
      <w:r>
        <w:rPr>
          <w:spacing w:val="-13"/>
          <w:lang w:eastAsia="zh-CN"/>
        </w:rPr>
        <w:t>吨，保鲜库两座约</w:t>
      </w:r>
      <w:r>
        <w:rPr>
          <w:spacing w:val="-47"/>
          <w:lang w:eastAsia="zh-CN"/>
        </w:rPr>
        <w:t xml:space="preserve"> </w:t>
      </w:r>
      <w:r>
        <w:rPr>
          <w:rFonts w:ascii="Calibri" w:eastAsia="Calibri" w:hAnsi="Calibri" w:cs="Calibri"/>
          <w:spacing w:val="-13"/>
          <w:lang w:eastAsia="zh-CN"/>
        </w:rPr>
        <w:t>1000</w:t>
      </w:r>
      <w:r>
        <w:rPr>
          <w:rFonts w:ascii="Calibri" w:eastAsia="Calibri" w:hAnsi="Calibri" w:cs="Calibri"/>
          <w:spacing w:val="33"/>
          <w:lang w:eastAsia="zh-CN"/>
        </w:rPr>
        <w:t xml:space="preserve"> </w:t>
      </w:r>
      <w:r>
        <w:rPr>
          <w:spacing w:val="-13"/>
          <w:lang w:eastAsia="zh-CN"/>
        </w:rPr>
        <w:t>吨，鱼糜生产线两条，熟制品线（小</w:t>
      </w:r>
      <w:r>
        <w:rPr>
          <w:lang w:eastAsia="zh-CN"/>
        </w:rPr>
        <w:t xml:space="preserve"> </w:t>
      </w:r>
      <w:r>
        <w:rPr>
          <w:spacing w:val="-2"/>
          <w:lang w:eastAsia="zh-CN"/>
        </w:rPr>
        <w:t>龙虾及鱼丸）四条，鱼片加工流水线三条，各类产品的</w:t>
      </w:r>
      <w:proofErr w:type="gramStart"/>
      <w:r>
        <w:rPr>
          <w:spacing w:val="-2"/>
          <w:lang w:eastAsia="zh-CN"/>
        </w:rPr>
        <w:t>综合日</w:t>
      </w:r>
      <w:proofErr w:type="gramEnd"/>
      <w:r>
        <w:rPr>
          <w:spacing w:val="-2"/>
          <w:lang w:eastAsia="zh-CN"/>
        </w:rPr>
        <w:t>生产能力</w:t>
      </w:r>
      <w:r>
        <w:rPr>
          <w:spacing w:val="-3"/>
          <w:lang w:eastAsia="zh-CN"/>
        </w:rPr>
        <w:t>在</w:t>
      </w:r>
      <w:r>
        <w:rPr>
          <w:spacing w:val="-54"/>
          <w:lang w:eastAsia="zh-CN"/>
        </w:rPr>
        <w:t xml:space="preserve"> </w:t>
      </w:r>
      <w:r>
        <w:rPr>
          <w:rFonts w:ascii="Calibri" w:eastAsia="Calibri" w:hAnsi="Calibri" w:cs="Calibri"/>
          <w:spacing w:val="-3"/>
          <w:lang w:eastAsia="zh-CN"/>
        </w:rPr>
        <w:t>200</w:t>
      </w:r>
      <w:r>
        <w:rPr>
          <w:rFonts w:ascii="Calibri" w:eastAsia="Calibri" w:hAnsi="Calibri" w:cs="Calibri"/>
          <w:lang w:eastAsia="zh-CN"/>
        </w:rPr>
        <w:t xml:space="preserve"> </w:t>
      </w:r>
      <w:r>
        <w:rPr>
          <w:spacing w:val="-3"/>
          <w:lang w:eastAsia="zh-CN"/>
        </w:rPr>
        <w:t>吨以上。</w:t>
      </w:r>
    </w:p>
    <w:p w14:paraId="2BF27F39" w14:textId="77777777" w:rsidR="00102494" w:rsidRDefault="00102494" w:rsidP="00102494">
      <w:pPr>
        <w:pStyle w:val="a8"/>
        <w:spacing w:before="35" w:line="389" w:lineRule="auto"/>
        <w:ind w:right="100" w:firstLine="612"/>
        <w:jc w:val="both"/>
        <w:rPr>
          <w:rFonts w:hint="eastAsia"/>
          <w:lang w:eastAsia="zh-CN"/>
        </w:rPr>
      </w:pPr>
      <w:r>
        <w:rPr>
          <w:spacing w:val="-6"/>
          <w:lang w:eastAsia="zh-CN"/>
        </w:rPr>
        <w:t>目前结合市场需求和广西、海南工厂的原材料及销售渠道，该公司一期正</w:t>
      </w:r>
      <w:r>
        <w:rPr>
          <w:spacing w:val="17"/>
          <w:lang w:eastAsia="zh-CN"/>
        </w:rPr>
        <w:t xml:space="preserve"> </w:t>
      </w:r>
      <w:r>
        <w:rPr>
          <w:spacing w:val="1"/>
          <w:lang w:eastAsia="zh-CN"/>
        </w:rPr>
        <w:t>式投产一年多以来，解决就业</w:t>
      </w:r>
      <w:r>
        <w:rPr>
          <w:spacing w:val="-47"/>
          <w:lang w:eastAsia="zh-CN"/>
        </w:rPr>
        <w:t xml:space="preserve"> </w:t>
      </w:r>
      <w:r>
        <w:rPr>
          <w:rFonts w:ascii="Calibri" w:eastAsia="Calibri" w:hAnsi="Calibri" w:cs="Calibri"/>
          <w:spacing w:val="1"/>
          <w:lang w:eastAsia="zh-CN"/>
        </w:rPr>
        <w:t>100</w:t>
      </w:r>
      <w:r>
        <w:rPr>
          <w:rFonts w:ascii="Calibri" w:eastAsia="Calibri" w:hAnsi="Calibri" w:cs="Calibri"/>
          <w:spacing w:val="18"/>
          <w:lang w:eastAsia="zh-CN"/>
        </w:rPr>
        <w:t xml:space="preserve"> </w:t>
      </w:r>
      <w:r>
        <w:rPr>
          <w:spacing w:val="1"/>
          <w:lang w:eastAsia="zh-CN"/>
        </w:rPr>
        <w:t>余人，带动</w:t>
      </w:r>
      <w:r>
        <w:rPr>
          <w:rFonts w:ascii="Calibri" w:eastAsia="Calibri" w:hAnsi="Calibri" w:cs="Calibri"/>
          <w:spacing w:val="1"/>
          <w:lang w:eastAsia="zh-CN"/>
        </w:rPr>
        <w:t>3000</w:t>
      </w:r>
      <w:r>
        <w:rPr>
          <w:rFonts w:ascii="Calibri" w:eastAsia="Calibri" w:hAnsi="Calibri" w:cs="Calibri"/>
          <w:spacing w:val="20"/>
          <w:lang w:eastAsia="zh-CN"/>
        </w:rPr>
        <w:t xml:space="preserve"> </w:t>
      </w:r>
      <w:r>
        <w:rPr>
          <w:spacing w:val="1"/>
          <w:lang w:eastAsia="zh-CN"/>
        </w:rPr>
        <w:t>余人</w:t>
      </w:r>
      <w:r>
        <w:rPr>
          <w:lang w:eastAsia="zh-CN"/>
        </w:rPr>
        <w:t xml:space="preserve">从事水产品养殖，基 </w:t>
      </w:r>
      <w:r>
        <w:rPr>
          <w:spacing w:val="-5"/>
          <w:lang w:eastAsia="zh-CN"/>
        </w:rPr>
        <w:t>地</w:t>
      </w:r>
      <w:r>
        <w:rPr>
          <w:spacing w:val="-57"/>
          <w:lang w:eastAsia="zh-CN"/>
        </w:rPr>
        <w:t xml:space="preserve"> </w:t>
      </w:r>
      <w:r>
        <w:rPr>
          <w:rFonts w:ascii="Calibri" w:eastAsia="Calibri" w:hAnsi="Calibri" w:cs="Calibri"/>
          <w:spacing w:val="-5"/>
          <w:lang w:eastAsia="zh-CN"/>
        </w:rPr>
        <w:t>2000</w:t>
      </w:r>
      <w:r>
        <w:rPr>
          <w:rFonts w:ascii="Calibri" w:eastAsia="Calibri" w:hAnsi="Calibri" w:cs="Calibri"/>
          <w:spacing w:val="20"/>
          <w:lang w:eastAsia="zh-CN"/>
        </w:rPr>
        <w:t xml:space="preserve"> </w:t>
      </w:r>
      <w:r>
        <w:rPr>
          <w:spacing w:val="-5"/>
          <w:lang w:eastAsia="zh-CN"/>
        </w:rPr>
        <w:t>余亩，</w:t>
      </w:r>
      <w:r>
        <w:rPr>
          <w:rFonts w:hint="eastAsia"/>
          <w:spacing w:val="-5"/>
          <w:lang w:eastAsia="zh-CN"/>
        </w:rPr>
        <w:t>2023</w:t>
      </w:r>
      <w:r>
        <w:rPr>
          <w:spacing w:val="-5"/>
          <w:lang w:eastAsia="zh-CN"/>
        </w:rPr>
        <w:t>年产值</w:t>
      </w:r>
      <w:r>
        <w:rPr>
          <w:spacing w:val="-53"/>
          <w:lang w:eastAsia="zh-CN"/>
        </w:rPr>
        <w:t xml:space="preserve"> </w:t>
      </w:r>
      <w:r>
        <w:rPr>
          <w:rFonts w:ascii="Calibri" w:eastAsia="Calibri" w:hAnsi="Calibri" w:cs="Calibri"/>
          <w:spacing w:val="-5"/>
          <w:lang w:eastAsia="zh-CN"/>
        </w:rPr>
        <w:t>2000</w:t>
      </w:r>
      <w:r>
        <w:rPr>
          <w:rFonts w:ascii="Calibri" w:eastAsia="Calibri" w:hAnsi="Calibri" w:cs="Calibri"/>
          <w:spacing w:val="18"/>
          <w:w w:val="101"/>
          <w:lang w:eastAsia="zh-CN"/>
        </w:rPr>
        <w:t xml:space="preserve"> </w:t>
      </w:r>
      <w:r>
        <w:rPr>
          <w:spacing w:val="-5"/>
          <w:lang w:eastAsia="zh-CN"/>
        </w:rPr>
        <w:t>余万元，</w:t>
      </w:r>
      <w:r>
        <w:rPr>
          <w:rFonts w:hint="eastAsia"/>
          <w:spacing w:val="-5"/>
          <w:lang w:eastAsia="zh-CN"/>
        </w:rPr>
        <w:t>2024年预计产值5000余万元，</w:t>
      </w:r>
      <w:r>
        <w:rPr>
          <w:spacing w:val="-5"/>
          <w:lang w:eastAsia="zh-CN"/>
        </w:rPr>
        <w:t>并与安徽工程大学生物与</w:t>
      </w:r>
      <w:r>
        <w:rPr>
          <w:spacing w:val="-6"/>
          <w:lang w:eastAsia="zh-CN"/>
        </w:rPr>
        <w:t>食品工程学院合</w:t>
      </w:r>
      <w:r>
        <w:rPr>
          <w:spacing w:val="-1"/>
          <w:lang w:eastAsia="zh-CN"/>
        </w:rPr>
        <w:t>作，成立研发中心，同时与多家餐饮连锁合作开发新产品。</w:t>
      </w:r>
    </w:p>
    <w:p w14:paraId="11078AEC" w14:textId="77777777" w:rsidR="00102494" w:rsidRDefault="00102494" w:rsidP="00102494">
      <w:pPr>
        <w:pStyle w:val="a8"/>
        <w:spacing w:before="38" w:line="389" w:lineRule="auto"/>
        <w:ind w:left="1" w:right="98" w:firstLine="562"/>
        <w:jc w:val="both"/>
        <w:rPr>
          <w:rFonts w:hint="eastAsia"/>
          <w:lang w:eastAsia="zh-CN"/>
        </w:rPr>
      </w:pPr>
      <w:r>
        <w:rPr>
          <w:rFonts w:ascii="Calibri" w:eastAsia="Calibri" w:hAnsi="Calibri" w:cs="Calibri"/>
          <w:spacing w:val="-7"/>
          <w:lang w:eastAsia="zh-CN"/>
        </w:rPr>
        <w:t>2023</w:t>
      </w:r>
      <w:r>
        <w:rPr>
          <w:rFonts w:ascii="Calibri" w:eastAsia="Calibri" w:hAnsi="Calibri" w:cs="Calibri"/>
          <w:spacing w:val="18"/>
          <w:lang w:eastAsia="zh-CN"/>
        </w:rPr>
        <w:t xml:space="preserve"> </w:t>
      </w:r>
      <w:r>
        <w:rPr>
          <w:spacing w:val="-7"/>
          <w:lang w:eastAsia="zh-CN"/>
        </w:rPr>
        <w:t>年被芜湖市评定为“市级技术研发中心</w:t>
      </w:r>
      <w:r>
        <w:rPr>
          <w:spacing w:val="-105"/>
          <w:lang w:eastAsia="zh-CN"/>
        </w:rPr>
        <w:t xml:space="preserve"> </w:t>
      </w:r>
      <w:r>
        <w:rPr>
          <w:spacing w:val="-7"/>
          <w:lang w:eastAsia="zh-CN"/>
        </w:rPr>
        <w:t>”，目前</w:t>
      </w:r>
      <w:r>
        <w:rPr>
          <w:spacing w:val="-8"/>
          <w:lang w:eastAsia="zh-CN"/>
        </w:rPr>
        <w:t>在市场流通的水产加</w:t>
      </w:r>
      <w:r>
        <w:rPr>
          <w:lang w:eastAsia="zh-CN"/>
        </w:rPr>
        <w:t xml:space="preserve"> </w:t>
      </w:r>
      <w:proofErr w:type="gramStart"/>
      <w:r>
        <w:rPr>
          <w:spacing w:val="-1"/>
          <w:lang w:eastAsia="zh-CN"/>
        </w:rPr>
        <w:t>工类有</w:t>
      </w:r>
      <w:proofErr w:type="gramEnd"/>
      <w:r>
        <w:rPr>
          <w:spacing w:val="-46"/>
          <w:lang w:eastAsia="zh-CN"/>
        </w:rPr>
        <w:t xml:space="preserve"> </w:t>
      </w:r>
      <w:r>
        <w:rPr>
          <w:rFonts w:ascii="Calibri" w:eastAsia="Calibri" w:hAnsi="Calibri" w:cs="Calibri"/>
          <w:spacing w:val="-1"/>
          <w:lang w:eastAsia="zh-CN"/>
        </w:rPr>
        <w:t>30</w:t>
      </w:r>
      <w:r>
        <w:rPr>
          <w:rFonts w:ascii="Calibri" w:eastAsia="Calibri" w:hAnsi="Calibri" w:cs="Calibri"/>
          <w:spacing w:val="30"/>
          <w:lang w:eastAsia="zh-CN"/>
        </w:rPr>
        <w:t xml:space="preserve"> </w:t>
      </w:r>
      <w:r>
        <w:rPr>
          <w:spacing w:val="-1"/>
          <w:lang w:eastAsia="zh-CN"/>
        </w:rPr>
        <w:t>多个品种，结合当地的资源优势，现正开发休闲食品赛道和团餐食</w:t>
      </w:r>
      <w:r>
        <w:rPr>
          <w:lang w:eastAsia="zh-CN"/>
        </w:rPr>
        <w:t xml:space="preserve"> </w:t>
      </w:r>
      <w:r>
        <w:rPr>
          <w:spacing w:val="-4"/>
          <w:lang w:eastAsia="zh-CN"/>
        </w:rPr>
        <w:t>品，立争把工厂的产能，全部得到充分利用。公司将不断提高产品的科技含量</w:t>
      </w:r>
      <w:r>
        <w:rPr>
          <w:spacing w:val="15"/>
          <w:lang w:eastAsia="zh-CN"/>
        </w:rPr>
        <w:t xml:space="preserve"> </w:t>
      </w:r>
      <w:r>
        <w:rPr>
          <w:lang w:eastAsia="zh-CN"/>
        </w:rPr>
        <w:t>和附加值，不断把新产品推向市场，使企业在创</w:t>
      </w:r>
      <w:r>
        <w:rPr>
          <w:spacing w:val="-1"/>
          <w:lang w:eastAsia="zh-CN"/>
        </w:rPr>
        <w:t>新中发展！在发展中成长！</w:t>
      </w:r>
    </w:p>
    <w:p w14:paraId="6250B8A2" w14:textId="29621C70" w:rsidR="004D0EA6" w:rsidRPr="00102494" w:rsidRDefault="004D0EA6" w:rsidP="008F652D">
      <w:pPr>
        <w:ind w:firstLine="615"/>
        <w:rPr>
          <w:b/>
          <w:sz w:val="30"/>
          <w:szCs w:val="30"/>
        </w:rPr>
      </w:pPr>
    </w:p>
    <w:p w14:paraId="1D5274DC" w14:textId="77777777" w:rsidR="004D0EA6" w:rsidRDefault="00000000">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550B9AA8"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1.1. 主要研究内容</w:t>
      </w:r>
    </w:p>
    <w:p w14:paraId="393910EC"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（1）射频预处理对真空油炸带鱼的工艺研究</w:t>
      </w:r>
    </w:p>
    <w:p w14:paraId="5D4B0B2B"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lastRenderedPageBreak/>
        <w:t>研究射频高度、盐水浓度、真空油炸参数对低温真空油炸预制带鱼的品质影响，通过单因素实验确定真空油炸带鱼的最佳范围，再进行响应面实验确定最佳工艺。</w:t>
      </w:r>
    </w:p>
    <w:p w14:paraId="22F85DDE"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（2）低温真空油炸带鱼的工艺优化及品质研究</w:t>
      </w:r>
    </w:p>
    <w:p w14:paraId="2D35E10C"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研究油炸时间、油炸温度、油炸真空度对低温真空油炸预制带鱼的品质的影响，确定最低含油率且口感最佳的低温真空油炸预制带鱼。</w:t>
      </w:r>
    </w:p>
    <w:p w14:paraId="07074335"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（3）低温真空油炸带鱼的贮藏期稳定性和品质变化研究</w:t>
      </w:r>
    </w:p>
    <w:p w14:paraId="3CAA046C"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研究空气包装、气调包装等不同的包装方式在低温真空油炸带鱼不同温度贮藏下品质的影响，确定最佳包装方式及贮藏时间。</w:t>
      </w:r>
    </w:p>
    <w:p w14:paraId="6178779A"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1.2. 拟解决的关键科学和工程技术问题</w:t>
      </w:r>
    </w:p>
    <w:p w14:paraId="65913D03"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（1）提出射频预处理在真空油炸产品的品质提升中的作用；</w:t>
      </w:r>
    </w:p>
    <w:p w14:paraId="0FDE95C7" w14:textId="7777777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（2）确定低温油炸预制带鱼的最佳工艺及品质研究；</w:t>
      </w:r>
    </w:p>
    <w:p w14:paraId="6924A62B" w14:textId="77777777" w:rsidR="00EE6ABF" w:rsidRPr="00102494" w:rsidRDefault="00EE6ABF" w:rsidP="00102494">
      <w:pPr>
        <w:pStyle w:val="a8"/>
        <w:spacing w:before="91" w:line="391" w:lineRule="auto"/>
        <w:ind w:left="1" w:right="24" w:firstLine="563"/>
        <w:jc w:val="both"/>
        <w:rPr>
          <w:spacing w:val="-3"/>
          <w:lang w:eastAsia="zh-CN"/>
        </w:rPr>
      </w:pPr>
      <w:r w:rsidRPr="00102494">
        <w:rPr>
          <w:rFonts w:hint="eastAsia"/>
          <w:spacing w:val="-3"/>
          <w:lang w:eastAsia="zh-CN"/>
        </w:rPr>
        <w:t>（3）低温真空油炸带鱼的贮藏期稳定性和品质变化研究。</w:t>
      </w:r>
    </w:p>
    <w:p w14:paraId="1BAD5CB3" w14:textId="19C64C11"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 xml:space="preserve">1.3. </w:t>
      </w:r>
      <w:r w:rsidRPr="00102494">
        <w:rPr>
          <w:rFonts w:hint="eastAsia"/>
          <w:spacing w:val="-3"/>
          <w:lang w:eastAsia="zh-CN"/>
        </w:rPr>
        <w:t>研究生培养预期成果</w:t>
      </w:r>
    </w:p>
    <w:p w14:paraId="3A76EE22" w14:textId="64CA0203"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培养研究生3名。</w:t>
      </w:r>
    </w:p>
    <w:p w14:paraId="3A9578B5" w14:textId="77777777" w:rsidR="004D0EA6" w:rsidRDefault="00000000">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1778128D" w14:textId="77777777" w:rsidR="004D0EA6" w:rsidRDefault="00000000">
      <w:pPr>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w:t>
      </w:r>
      <w:r>
        <w:rPr>
          <w:rFonts w:hint="eastAsia"/>
          <w:bCs/>
          <w:sz w:val="24"/>
          <w:szCs w:val="24"/>
        </w:rPr>
        <w:t>（个人简介）</w:t>
      </w:r>
    </w:p>
    <w:p w14:paraId="76859962" w14:textId="3B82DE67" w:rsidR="004D0EA6" w:rsidRPr="00EE6ABF" w:rsidRDefault="00EE6ABF" w:rsidP="00EE6ABF">
      <w:pPr>
        <w:ind w:firstLine="615"/>
        <w:rPr>
          <w:b/>
          <w:sz w:val="30"/>
          <w:szCs w:val="30"/>
        </w:rPr>
      </w:pPr>
      <w:r w:rsidRPr="00EE6ABF">
        <w:rPr>
          <w:rFonts w:hint="eastAsia"/>
          <w:b/>
          <w:sz w:val="30"/>
          <w:szCs w:val="30"/>
        </w:rPr>
        <w:t>（一</w:t>
      </w:r>
      <w:r>
        <w:rPr>
          <w:rFonts w:hint="eastAsia"/>
          <w:b/>
          <w:sz w:val="30"/>
          <w:szCs w:val="30"/>
        </w:rPr>
        <w:t>）</w:t>
      </w:r>
      <w:r w:rsidR="00000000" w:rsidRPr="00EE6ABF">
        <w:rPr>
          <w:rFonts w:hint="eastAsia"/>
          <w:b/>
          <w:sz w:val="30"/>
          <w:szCs w:val="30"/>
        </w:rPr>
        <w:t>校内导师</w:t>
      </w:r>
    </w:p>
    <w:p w14:paraId="0B83B413" w14:textId="0D843F57" w:rsidR="00EE6ABF" w:rsidRPr="00102494" w:rsidRDefault="00EE6ABF" w:rsidP="00102494">
      <w:pPr>
        <w:pStyle w:val="a8"/>
        <w:spacing w:before="91" w:line="391" w:lineRule="auto"/>
        <w:ind w:left="1" w:right="24" w:firstLine="563"/>
        <w:jc w:val="both"/>
        <w:rPr>
          <w:rFonts w:hint="eastAsia"/>
          <w:spacing w:val="-3"/>
          <w:lang w:eastAsia="zh-CN"/>
        </w:rPr>
      </w:pPr>
      <w:r w:rsidRPr="00102494">
        <w:rPr>
          <w:rFonts w:hint="eastAsia"/>
          <w:spacing w:val="-3"/>
          <w:lang w:eastAsia="zh-CN"/>
        </w:rPr>
        <w:t>徐继成，男，博士，教授，硕士生导师。中国食品科学技术学会休闲食品加工技术分会理事，安徽省食品科学技术学会理事，中国机械工程学会高级会员，中国营养学会会员，安徽省科技特派员；主要研究领域为生鲜食品物理</w:t>
      </w:r>
      <w:proofErr w:type="gramStart"/>
      <w:r w:rsidRPr="00102494">
        <w:rPr>
          <w:rFonts w:hint="eastAsia"/>
          <w:spacing w:val="-3"/>
          <w:lang w:eastAsia="zh-CN"/>
        </w:rPr>
        <w:t>场加工</w:t>
      </w:r>
      <w:proofErr w:type="gramEnd"/>
      <w:r w:rsidRPr="00102494">
        <w:rPr>
          <w:rFonts w:hint="eastAsia"/>
          <w:spacing w:val="-3"/>
          <w:lang w:eastAsia="zh-CN"/>
        </w:rPr>
        <w:t>及可食用农业资源开发与利用等。近</w:t>
      </w:r>
      <w:r w:rsidRPr="00102494">
        <w:rPr>
          <w:rFonts w:hint="eastAsia"/>
          <w:spacing w:val="-3"/>
          <w:lang w:eastAsia="zh-CN"/>
        </w:rPr>
        <w:lastRenderedPageBreak/>
        <w:t>年来主持科研项目15项；发表科研论文38篇，其中SCI论文26篇；申请和授权专利13项；获中国商业联合会科技进步奖特等奖1项、一等奖2项。担任Comprehensive Reviews in Food Science and Food Safety、Critical Reviews in Food Science and Nutrition, LWT，International Journal of Biological Macromolecules，Food Function, Ultrasonics–Sonochemistry等期刊审稿人。主持教研项目5项，发表教研论文3篇；指导学生获国家、安徽省食品设计创新大赛一等奖等9次，获安徽省优秀指导教师2次，校一档教学骨干。完成企业委托的科技成果转化与产业化项目12项。</w:t>
      </w:r>
    </w:p>
    <w:p w14:paraId="27C951B4" w14:textId="77777777" w:rsidR="004D0EA6" w:rsidRDefault="00000000">
      <w:pPr>
        <w:ind w:firstLine="615"/>
        <w:rPr>
          <w:b/>
          <w:sz w:val="30"/>
          <w:szCs w:val="30"/>
        </w:rPr>
      </w:pPr>
      <w:r>
        <w:rPr>
          <w:rFonts w:hint="eastAsia"/>
          <w:b/>
          <w:sz w:val="30"/>
          <w:szCs w:val="30"/>
        </w:rPr>
        <w:t>（二）企业导师</w:t>
      </w:r>
    </w:p>
    <w:p w14:paraId="384D4193" w14:textId="58CF3C03" w:rsidR="004D0EA6" w:rsidRPr="00102494" w:rsidRDefault="00102494" w:rsidP="00102494">
      <w:pPr>
        <w:pStyle w:val="a8"/>
        <w:spacing w:before="91" w:line="391" w:lineRule="auto"/>
        <w:ind w:left="1" w:right="24" w:firstLine="563"/>
        <w:jc w:val="both"/>
        <w:rPr>
          <w:spacing w:val="-3"/>
          <w:lang w:eastAsia="zh-CN"/>
        </w:rPr>
      </w:pPr>
      <w:r w:rsidRPr="00102494">
        <w:rPr>
          <w:rFonts w:hint="eastAsia"/>
          <w:spacing w:val="-3"/>
          <w:lang w:eastAsia="zh-CN"/>
        </w:rPr>
        <w:t>曹根谊，男，汉族，1969年10月12日出生，研究生学历。安徽无为人，2023年在安徽中颐食品科技有限公司，从事行政管理工作</w:t>
      </w:r>
      <w:r w:rsidRPr="00102494">
        <w:rPr>
          <w:rFonts w:hint="eastAsia"/>
          <w:spacing w:val="-3"/>
          <w:lang w:eastAsia="zh-CN"/>
        </w:rPr>
        <w:t>。有着丰富的产品研究经验，能准确洞察产品开发工程中的关键信息。</w:t>
      </w:r>
    </w:p>
    <w:p w14:paraId="30970F72" w14:textId="77777777" w:rsidR="004D0EA6" w:rsidRPr="00102494" w:rsidRDefault="004D0EA6" w:rsidP="00102494">
      <w:pPr>
        <w:pStyle w:val="a8"/>
        <w:spacing w:before="91" w:line="391" w:lineRule="auto"/>
        <w:ind w:left="1" w:right="24" w:firstLine="563"/>
        <w:jc w:val="both"/>
        <w:rPr>
          <w:spacing w:val="-3"/>
          <w:lang w:eastAsia="zh-CN"/>
        </w:rPr>
      </w:pPr>
    </w:p>
    <w:sectPr w:rsidR="004D0EA6" w:rsidRPr="001024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BB4AC4"/>
    <w:multiLevelType w:val="hybridMultilevel"/>
    <w:tmpl w:val="C846A6F0"/>
    <w:lvl w:ilvl="0" w:tplc="CC5CA1CE">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num w:numId="1" w16cid:durableId="2068410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2494"/>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76A27"/>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0EA6"/>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8F652D"/>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661BF"/>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E6ABF"/>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AE3D4"/>
  <w15:docId w15:val="{DDA8B75C-63F0-49BA-8757-916B2AF22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ody Text"/>
    <w:basedOn w:val="a"/>
    <w:link w:val="a9"/>
    <w:semiHidden/>
    <w:qFormat/>
    <w:rsid w:val="00102494"/>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8"/>
      <w:szCs w:val="28"/>
      <w:lang w:eastAsia="en-US"/>
    </w:rPr>
  </w:style>
  <w:style w:type="character" w:customStyle="1" w:styleId="a9">
    <w:name w:val="正文文本 字符"/>
    <w:basedOn w:val="a0"/>
    <w:link w:val="a8"/>
    <w:semiHidden/>
    <w:rsid w:val="00102494"/>
    <w:rPr>
      <w:rFonts w:ascii="宋体" w:eastAsia="宋体" w:hAnsi="宋体" w:cs="宋体"/>
      <w:snapToGrid w:val="0"/>
      <w:color w:val="00000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233</Words>
  <Characters>1334</Characters>
  <Application>Microsoft Office Word</Application>
  <DocSecurity>0</DocSecurity>
  <Lines>11</Lines>
  <Paragraphs>3</Paragraphs>
  <ScaleCrop>false</ScaleCrop>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Jicheng Xu</cp:lastModifiedBy>
  <cp:revision>8</cp:revision>
  <dcterms:created xsi:type="dcterms:W3CDTF">2024-03-11T08:43:00Z</dcterms:created>
  <dcterms:modified xsi:type="dcterms:W3CDTF">2025-03-19T06:16:00Z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